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w:t>
          </w:r>
          <w:r>
            <w:rPr>
              <w:rFonts w:cs="Times New Roman" w:ascii="Times New Roman" w:hAnsi="Times New Roman"/>
              <w:sz w:val="24"/>
              <w:szCs w:val="24"/>
              <w:lang w:val="lt-LT"/>
            </w:rPr>
            <w:t>6</w:t>
          </w:r>
          <w:r>
            <w:rPr>
              <w:rFonts w:cs="Times New Roman" w:ascii="Times New Roman" w:hAnsi="Times New Roman"/>
              <w:sz w:val="24"/>
              <w:szCs w:val="24"/>
            </w:rPr>
            <w:t xml:space="preserve">-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sz w:val="28"/>
              <w:szCs w:val="28"/>
            </w:rPr>
          </w:pPr>
          <w:r>
            <w:rPr>
              <w:rFonts w:cs="Times New Roman" w:ascii="Times New Roman" w:hAnsi="Times New Roman"/>
              <w:b/>
              <w:bCs/>
              <w:sz w:val="28"/>
              <w:szCs w:val="28"/>
            </w:rPr>
            <w:t xml:space="preserve">SUPAPRASTINTO ATVIRO PIRKIMO „VAIKŲ VASAROS UŽIMTUMO VEIKLŲ ORGANIZAVIMAS STIPRINANT VAIKŲ IR JŲ ŠEIMŲ SVEIKĄ GYVENSENĄ, ĮSKAITANT FIZINĘ IR PSICHIKOS SVEIKATĄ BEI PSICHOLOGINĮ ATSPARUMĄ“ SPECIALIOSIOS SĄLYGOS </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t>Versija Nr.1</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TOCHeading"/>
            <w:spacing w:lineRule="atLeast" w:line="20" w:before="0" w:after="120"/>
            <w:ind w:hanging="432" w:left="432"/>
            <w:contextualSpacing/>
            <w:rPr>
              <w:rFonts w:ascii="Times New Roman" w:hAnsi="Times New Roman" w:cs="Times New Roman"/>
              <w:color w:val="auto"/>
              <w:sz w:val="24"/>
              <w:szCs w:val="24"/>
            </w:rPr>
          </w:pPr>
          <w:r>
            <w:rPr>
              <w:rFonts w:cs="Times New Roman" w:ascii="Times New Roman" w:hAnsi="Times New Roman"/>
              <w:color w:val="auto"/>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213187611">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_Toc213187611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2">
            <w:r>
              <w:rPr>
                <w:webHidden/>
                <w:rStyle w:val="IndexLink"/>
                <w:rFonts w:cs="Times New Roman" w:ascii="Times New Roman" w:hAnsi="Times New Roman"/>
                <w:vanish w:val="false"/>
              </w:rPr>
              <w:t>2. Pirkimo objektas</w:t>
            </w:r>
            <w:r>
              <w:rPr>
                <w:webHidden/>
              </w:rPr>
              <w:fldChar w:fldCharType="begin"/>
            </w:r>
            <w:r>
              <w:rPr>
                <w:webHidden/>
              </w:rPr>
              <w:instrText xml:space="preserve">PAGEREF _Toc213187612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3">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_Toc213187613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4">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_Toc213187614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5">
            <w:r>
              <w:rPr>
                <w:webHidden/>
                <w:rStyle w:val="IndexLink"/>
                <w:rFonts w:cs="Times New Roman" w:ascii="Times New Roman" w:hAnsi="Times New Roman"/>
                <w:vanish w:val="false"/>
              </w:rPr>
              <w:t>5. Reikalavimai, susiję su nacionaliniu saugumu</w:t>
            </w:r>
            <w:r>
              <w:rPr>
                <w:webHidden/>
              </w:rPr>
              <w:fldChar w:fldCharType="begin"/>
            </w:r>
            <w:r>
              <w:rPr>
                <w:webHidden/>
              </w:rPr>
              <w:instrText xml:space="preserve">PAGEREF _Toc213187615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16">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_Toc213187616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7">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_Toc213187617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8">
            <w:r>
              <w:rPr>
                <w:webHidden/>
                <w:rStyle w:val="IndexLink"/>
                <w:rFonts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_Toc213187618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9">
            <w:r>
              <w:rPr>
                <w:webHidden/>
                <w:rStyle w:val="IndexLink"/>
                <w:rFonts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_Toc213187619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0">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Prekių pavyzdžių pateikimas</w:t>
            </w:r>
            <w:r>
              <w:rPr>
                <w:webHidden/>
              </w:rPr>
              <w:fldChar w:fldCharType="begin"/>
            </w:r>
            <w:r>
              <w:rPr>
                <w:webHidden/>
              </w:rPr>
              <w:instrText xml:space="preserve">PAGEREF _Toc213187620 \h</w:instrText>
            </w:r>
            <w:r>
              <w:rPr>
                <w:webHidden/>
              </w:rPr>
              <w:fldChar w:fldCharType="separate"/>
            </w:r>
            <w:r>
              <w:rPr>
                <w:rStyle w:val="IndexLink"/>
              </w:rPr>
              <w:tab/>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1">
            <w:r>
              <w:rPr>
                <w:webHidden/>
                <w:rStyle w:val="IndexLink"/>
                <w:rFonts w:cs="Times New Roman" w:ascii="Times New Roman" w:hAnsi="Times New Roman"/>
                <w:vanish w:val="false"/>
              </w:rPr>
              <w:t>11.</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_Toc213187621 \h</w:instrText>
            </w:r>
            <w:r>
              <w:rPr>
                <w:webHidden/>
              </w:rPr>
              <w:fldChar w:fldCharType="separate"/>
            </w:r>
            <w:r>
              <w:rPr>
                <w:rStyle w:val="IndexLink"/>
              </w:rPr>
              <w:tab/>
            </w:r>
            <w:r>
              <w:rPr>
                <w:webHidden/>
              </w:rPr>
              <w:fldChar w:fldCharType="end"/>
            </w:r>
          </w:hyperlink>
        </w:p>
        <w:p>
          <w:pPr>
            <w:pStyle w:val="TOC1"/>
            <w:rPr>
              <w:kern w:val="2"/>
              <w:sz w:val="24"/>
              <w:szCs w:val="24"/>
              <w14:ligatures w14:val="standardContextual"/>
            </w:rPr>
          </w:pPr>
          <w:hyperlink w:anchor="_Toc213187622">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_Toc213187622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3">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_Toc213187623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4">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_Toc213187624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5">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_Toc213187625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6">
            <w:r>
              <w:rPr>
                <w:webHidden/>
                <w:rStyle w:val="IndexLink"/>
                <w:rFonts w:eastAsia="Calibri" w:cs="Times New Roman" w:ascii="Times New Roman" w:hAnsi="Times New Roman"/>
                <w:vanish w:val="false"/>
              </w:rPr>
              <w:t xml:space="preserve">Pirkimo sąlygų 5 priedas „EBVPD“ </w:t>
            </w:r>
            <w:r>
              <w:rPr>
                <w:rStyle w:val="IndexLink"/>
                <w:rFonts w:cs="Times New Roman" w:ascii="Times New Roman" w:hAnsi="Times New Roman"/>
              </w:rPr>
              <w:t>(XML formatu)</w:t>
            </w:r>
            <w:r>
              <w:rPr>
                <w:webHidden/>
              </w:rPr>
              <w:fldChar w:fldCharType="begin"/>
            </w:r>
            <w:r>
              <w:rPr>
                <w:webHidden/>
              </w:rPr>
              <w:instrText xml:space="preserve">PAGEREF _Toc213187626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7">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_Toc213187627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28">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_Toc213187628 \h</w:instrText>
            </w:r>
            <w:r>
              <w:rPr>
                <w:webHidden/>
              </w:rPr>
              <w:fldChar w:fldCharType="separate"/>
            </w:r>
            <w:r>
              <w:rPr>
                <w:rStyle w:val="IndexLink"/>
              </w:rPr>
              <w:tab/>
            </w:r>
            <w:r>
              <w:rPr>
                <w:webHidden/>
              </w:rPr>
              <w:fldChar w:fldCharType="end"/>
            </w:r>
          </w:hyperlink>
        </w:p>
        <w:p>
          <w:pPr>
            <w:pStyle w:val="TOC2"/>
            <w:rPr>
              <w:kern w:val="2"/>
              <w:sz w:val="24"/>
              <w:szCs w:val="24"/>
              <w14:ligatures w14:val="standardContextual"/>
            </w:rPr>
          </w:pPr>
          <w:hyperlink w:anchor="_Toc213187631">
            <w:r>
              <w:rPr>
                <w:webHidden/>
                <w:rStyle w:val="IndexLink"/>
                <w:rFonts w:cs="Times New Roman" w:ascii="Times New Roman" w:hAnsi="Times New Roman"/>
                <w:vanish w:val="false"/>
              </w:rPr>
              <w:t>Pirkimo sąlygų 8 priedas „Sutarties projektas“</w:t>
            </w:r>
            <w:r>
              <w:rPr>
                <w:webHidden/>
              </w:rPr>
              <w:fldChar w:fldCharType="begin"/>
            </w:r>
            <w:r>
              <w:rPr>
                <w:webHidden/>
              </w:rPr>
              <w:instrText xml:space="preserve">PAGEREF _Toc213187631 \h</w:instrText>
            </w:r>
            <w:r>
              <w:rPr>
                <w:webHidden/>
              </w:rPr>
              <w:fldChar w:fldCharType="separate"/>
            </w:r>
            <w:r>
              <w:rPr>
                <w:rStyle w:val="IndexLink"/>
              </w:rPr>
              <w:tab/>
            </w:r>
            <w:r>
              <w:rPr>
                <w:webHidden/>
              </w:rPr>
              <w:fldChar w:fldCharType="end"/>
            </w:r>
          </w:hyperlink>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rPr>
              <w:sz w:val="24"/>
              <w:szCs w:val="24"/>
              <w:rFonts w:cs="Times New Roman" w:ascii="Times New Roman" w:hAnsi="Times New Roman"/>
            </w:rPr>
            <w:fldChar w:fldCharType="end"/>
          </w:r>
        </w:p>
      </w:sdtContent>
    </w:sdt>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Heading1"/>
        <w:numPr>
          <w:ilvl w:val="0"/>
          <w:numId w:val="1"/>
        </w:numPr>
        <w:spacing w:lineRule="atLeast" w:line="20" w:before="0" w:after="120"/>
        <w:ind w:hanging="567" w:left="567"/>
        <w:contextualSpacing/>
        <w:rPr>
          <w:b/>
          <w:bCs/>
        </w:rPr>
      </w:pPr>
      <w:bookmarkStart w:id="1" w:name="_Toc213187611"/>
      <w:r>
        <w:rPr>
          <w:rFonts w:cs="Times New Roman" w:ascii="Times New Roman" w:hAnsi="Times New Roman"/>
          <w:b/>
          <w:bCs/>
          <w:color w:val="auto"/>
          <w:sz w:val="24"/>
          <w:szCs w:val="24"/>
        </w:rPr>
        <w:t>Bendra informacija</w:t>
      </w:r>
      <w:bookmarkEnd w:id="1"/>
    </w:p>
    <w:p>
      <w:pPr>
        <w:pStyle w:val="ListParagraph"/>
        <w:numPr>
          <w:ilvl w:val="1"/>
          <w:numId w:val="1"/>
        </w:numPr>
        <w:tabs>
          <w:tab w:val="clear" w:pos="1296"/>
          <w:tab w:val="left" w:pos="1134" w:leader="none"/>
        </w:tabs>
        <w:spacing w:lineRule="atLeast" w:line="2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Fonts w:eastAsia="Calibri" w:cs="Times New Roman" w:ascii="Times New Roman" w:hAnsi="Times New Roman" w:eastAsiaTheme="minorHAnsi"/>
          <w:sz w:val="24"/>
          <w:szCs w:val="24"/>
          <w:lang w:eastAsia="en-US"/>
        </w:rPr>
        <w:t>Higienos institutas, juridinio asmens kodas 111958286, adresas Studentų g. 45A, Vilnius. Perkančioji organizacija nėra PVM mokėtoja</w:t>
      </w:r>
      <w:r>
        <w:rPr>
          <w:rFonts w:eastAsia="Calibri" w:cs="Times New Roman" w:ascii="Times New Roman" w:hAnsi="Times New Roman"/>
          <w:sz w:val="24"/>
          <w:szCs w:val="24"/>
        </w:rPr>
        <w:t>.</w:t>
      </w:r>
    </w:p>
    <w:p>
      <w:pPr>
        <w:pStyle w:val="ListParagraph"/>
        <w:numPr>
          <w:ilvl w:val="1"/>
          <w:numId w:val="1"/>
        </w:numPr>
        <w:tabs>
          <w:tab w:val="clear" w:pos="1296"/>
          <w:tab w:val="left" w:pos="993" w:leader="none"/>
        </w:tabs>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Pirkimas neatliekamas naudojantis centralizuotų pirkimų katalogu, nes</w:t>
      </w:r>
      <w:r>
        <w:rPr>
          <w:rFonts w:cs="Times New Roman" w:ascii="Times New Roman" w:hAnsi="Times New Roman"/>
          <w:sz w:val="24"/>
          <w:szCs w:val="24"/>
          <w:lang w:val="lt-LT"/>
        </w:rPr>
        <w:t xml:space="preserve"> vaikų vasaros stovyklų </w:t>
      </w:r>
      <w:r>
        <w:rPr>
          <w:rFonts w:cs="Times New Roman" w:ascii="Times New Roman" w:hAnsi="Times New Roman"/>
          <w:sz w:val="24"/>
          <w:szCs w:val="24"/>
          <w:lang w:val="en-US"/>
        </w:rPr>
        <w:t>paslaug</w:t>
      </w:r>
      <w:r>
        <w:rPr>
          <w:rFonts w:cs="Times New Roman" w:ascii="Times New Roman" w:hAnsi="Times New Roman"/>
          <w:sz w:val="24"/>
          <w:szCs w:val="24"/>
          <w:lang w:val="lt-LT"/>
        </w:rPr>
        <w:t xml:space="preserve">ų </w:t>
      </w:r>
      <w:r>
        <w:rPr>
          <w:rFonts w:eastAsia="Calibri" w:cs="Times New Roman" w:ascii="Times New Roman" w:hAnsi="Times New Roman"/>
          <w:sz w:val="24"/>
          <w:szCs w:val="24"/>
        </w:rPr>
        <w:t xml:space="preserve"> CPO.LT kataloge nėra</w:t>
      </w:r>
      <w:r>
        <w:rPr>
          <w:rFonts w:cs="Times New Roman" w:ascii="Times New Roman" w:hAnsi="Times New Roman"/>
          <w:sz w:val="24"/>
          <w:szCs w:val="24"/>
        </w:rPr>
        <w:t xml:space="preserve">.  </w:t>
      </w:r>
    </w:p>
    <w:p>
      <w:pPr>
        <w:pStyle w:val="ListParagraph"/>
        <w:numPr>
          <w:ilvl w:val="1"/>
          <w:numId w:val="1"/>
        </w:numPr>
        <w:tabs>
          <w:tab w:val="clear" w:pos="1296"/>
          <w:tab w:val="left" w:pos="993" w:leader="none"/>
        </w:tabs>
        <w:spacing w:lineRule="auto" w:line="240" w:before="0" w:after="0"/>
        <w:ind w:firstLine="567" w:left="0"/>
        <w:contextualSpacing/>
        <w:rPr>
          <w:rFonts w:ascii="Times New Roman" w:hAnsi="Times New Roman" w:cs="Times New Roman"/>
          <w:sz w:val="24"/>
          <w:szCs w:val="24"/>
        </w:rPr>
      </w:pP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 xml:space="preserve">1.5. </w:t>
      </w:r>
      <w:r>
        <w:rPr>
          <w:rFonts w:cs="Times New Roman" w:ascii="Times New Roman" w:hAnsi="Times New Roman"/>
          <w:color w:val="000000"/>
          <w:sz w:val="24"/>
          <w:szCs w:val="24"/>
        </w:rPr>
        <w:t>Atliekamas žaliasis pirkimas.</w:t>
      </w:r>
      <w:r>
        <w:rPr>
          <w:rFonts w:cs="Times New Roman" w:ascii="Times New Roman" w:hAnsi="Times New Roman"/>
          <w:sz w:val="24"/>
          <w:szCs w:val="24"/>
        </w:rPr>
        <w:t xml:space="preserve">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(toliau - Tvarkos aprašas) 4 punktu ir laikomas žaliuoju, nes atitinka 4.4.3  papunktyje nustatytas sąlygas:</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1.5.1. 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pPr>
        <w:pStyle w:val="Normal"/>
        <w:tabs>
          <w:tab w:val="clear" w:pos="1296"/>
          <w:tab w:val="left" w:pos="8300" w:leader="none"/>
        </w:tabs>
        <w:spacing w:lineRule="auto" w:line="240" w:before="0" w:after="0"/>
        <w:ind w:firstLine="567"/>
        <w:rPr>
          <w:rFonts w:ascii="Times New Roman" w:hAnsi="Times New Roman" w:cs="Times New Roman"/>
          <w:sz w:val="24"/>
          <w:szCs w:val="24"/>
        </w:rPr>
      </w:pPr>
      <w:r>
        <w:rPr>
          <w:rFonts w:cs="Times New Roman" w:ascii="Times New Roman" w:hAnsi="Times New Roman"/>
          <w:sz w:val="24"/>
          <w:szCs w:val="24"/>
        </w:rPr>
        <w:t xml:space="preserve">1.6. Išankstinis skelbimas apie pirkimą nebuvo paskelbtas. </w:t>
        <w:tab/>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lang w:eastAsia="en-US"/>
        </w:rPr>
      </w:pPr>
      <w:r>
        <w:rPr>
          <w:rFonts w:cs="Times New Roman" w:ascii="Times New Roman" w:hAnsi="Times New Roman"/>
          <w:sz w:val="24"/>
          <w:szCs w:val="24"/>
          <w:lang w:eastAsia="en-US"/>
        </w:rPr>
        <w:t xml:space="preserve">1.7. Pirkime </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Pirkime neleidžiama pateikti alternatyvių pasiūlymų. </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eastAsia="Arial" w:cs="Times New Roman" w:ascii="Times New Roman" w:hAnsi="Times New Roman"/>
          <w:sz w:val="24"/>
          <w:szCs w:val="24"/>
        </w:rPr>
        <w:t>Bendrosios pirkimo sąlygos yra neatskiriama šių pirkimo sąlygų dalis.</w:t>
      </w:r>
    </w:p>
    <w:p>
      <w:pPr>
        <w:pStyle w:val="ListParagraph"/>
        <w:numPr>
          <w:ilvl w:val="0"/>
          <w:numId w:val="0"/>
        </w:numPr>
        <w:tabs>
          <w:tab w:val="clear" w:pos="1296"/>
          <w:tab w:val="left" w:pos="851" w:leader="none"/>
          <w:tab w:val="left" w:pos="993" w:leader="none"/>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360" w:after="120"/>
        <w:contextualSpacing/>
        <w:rPr>
          <w:b/>
          <w:bCs/>
        </w:rPr>
      </w:pPr>
      <w:bookmarkStart w:id="2" w:name="_Ref39426332"/>
      <w:bookmarkStart w:id="3" w:name="_Ref39426338"/>
      <w:bookmarkStart w:id="4" w:name="_Toc213187612"/>
      <w:bookmarkStart w:id="5" w:name="_Toc335201954"/>
      <w:bookmarkEnd w:id="5"/>
      <w:r>
        <w:rPr>
          <w:rFonts w:cs="Times New Roman" w:ascii="Times New Roman" w:hAnsi="Times New Roman"/>
          <w:b/>
          <w:bCs/>
          <w:color w:val="auto"/>
          <w:sz w:val="24"/>
          <w:szCs w:val="24"/>
        </w:rPr>
        <w:t>2. Pirkimo objektas</w:t>
      </w:r>
      <w:bookmarkEnd w:id="2"/>
      <w:bookmarkEnd w:id="3"/>
      <w:bookmarkEnd w:id="4"/>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Perkančioji organizacija numato įsigyti</w:t>
      </w:r>
      <w:r>
        <w:rPr>
          <w:rFonts w:eastAsia="Calibri" w:cs="Times New Roman" w:ascii="Times New Roman" w:hAnsi="Times New Roman"/>
          <w:sz w:val="24"/>
          <w:szCs w:val="24"/>
          <w:lang w:val="en-US"/>
        </w:rPr>
        <w:t xml:space="preserve"> vaik</w:t>
      </w:r>
      <w:r>
        <w:rPr>
          <w:rFonts w:eastAsia="Calibri" w:cs="Times New Roman" w:ascii="Times New Roman" w:hAnsi="Times New Roman"/>
          <w:sz w:val="24"/>
          <w:szCs w:val="24"/>
          <w:lang w:val="lt-LT"/>
        </w:rPr>
        <w:t>ų vasaros užimtumo veiklų organizavimo stiprinant vaikų ir jų šeimų sveiką gyvenseną, įskaitant fizinę ir psichinę sveikatą bei psichologinį atsparumą, paslaugos</w:t>
      </w:r>
      <w:r>
        <w:rPr>
          <w:rFonts w:eastAsia="Calibri" w:cs="Times New Roman" w:ascii="Times New Roman" w:hAnsi="Times New Roman"/>
          <w:sz w:val="24"/>
          <w:szCs w:val="24"/>
          <w:lang w:val="en-US"/>
        </w:rPr>
        <w:t xml:space="preserve"> </w:t>
      </w:r>
      <w:r>
        <w:rPr>
          <w:rFonts w:eastAsia="Calibri" w:cs="Times New Roman" w:ascii="Times New Roman" w:hAnsi="Times New Roman"/>
          <w:b/>
          <w:bCs/>
          <w:sz w:val="24"/>
          <w:szCs w:val="24"/>
        </w:rPr>
        <w:t xml:space="preserve"> </w:t>
      </w:r>
      <w:r>
        <w:rPr>
          <w:rFonts w:eastAsia="Calibri" w:cs="Times New Roman" w:ascii="Times New Roman" w:hAnsi="Times New Roman"/>
          <w:sz w:val="24"/>
          <w:szCs w:val="24"/>
        </w:rPr>
        <w:t>(toliau – paslaugos).</w:t>
      </w:r>
      <w:r>
        <w:rPr>
          <w:rFonts w:cs="Times New Roman" w:ascii="Times New Roman" w:hAnsi="Times New Roman"/>
          <w:sz w:val="24"/>
          <w:szCs w:val="24"/>
        </w:rPr>
        <w:t xml:space="preserve"> Reikalavimai pirkimo objektui nustatyti specialiųjų pirkimo sąlygų 2 priede „Techninė specifikacija“.</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Vadovaujantis VPĮ 27 straipsnio nuostatomis, CVP IS (adresu </w:t>
      </w:r>
      <w:hyperlink r:id="rId3">
        <w:r>
          <w:rPr>
            <w:rStyle w:val="Hyperlink"/>
            <w:rFonts w:cs="Times New Roman" w:ascii="Times New Roman" w:hAnsi="Times New Roman"/>
            <w:sz w:val="24"/>
            <w:szCs w:val="24"/>
          </w:rPr>
          <w:t>https://viesiejipirkimai.lt</w:t>
        </w:r>
      </w:hyperlink>
      <w:r>
        <w:rPr>
          <w:rFonts w:cs="Times New Roman" w:ascii="Times New Roman" w:hAnsi="Times New Roman"/>
          <w:sz w:val="24"/>
          <w:szCs w:val="24"/>
        </w:rPr>
        <w:t xml:space="preserve">) buvo viešai skelbta išankstinė rinkos konsultacija. Rinkos konsultacijos ID 7746581 .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Pirkimo objektas kiekybiniu pagrindu skaidomas į</w:t>
      </w:r>
      <w:r>
        <w:rPr>
          <w:rFonts w:cs="Times New Roman" w:ascii="Times New Roman" w:hAnsi="Times New Roman"/>
          <w:sz w:val="24"/>
          <w:szCs w:val="24"/>
          <w:lang w:val="lt-LT"/>
        </w:rPr>
        <w:t xml:space="preserve"> 5</w:t>
      </w:r>
      <w:r>
        <w:rPr>
          <w:rFonts w:cs="Times New Roman" w:ascii="Times New Roman" w:hAnsi="Times New Roman"/>
          <w:i/>
          <w:iCs/>
          <w:sz w:val="24"/>
          <w:szCs w:val="24"/>
          <w:lang w:val="lt-LT"/>
        </w:rPr>
        <w:t xml:space="preserve"> </w:t>
      </w:r>
      <w:r>
        <w:rPr>
          <w:rFonts w:cs="Times New Roman" w:ascii="Times New Roman" w:hAnsi="Times New Roman"/>
          <w:sz w:val="24"/>
          <w:szCs w:val="24"/>
        </w:rPr>
        <w:t xml:space="preserve">dalis, kurių apimtys ir dalykas, reikalavimai ir techninė specifikacija apibrėžti </w:t>
      </w:r>
      <w:bookmarkStart w:id="6" w:name="_Hlk91152632"/>
      <w:r>
        <w:rPr>
          <w:rFonts w:cs="Times New Roman" w:ascii="Times New Roman" w:hAnsi="Times New Roman"/>
          <w:sz w:val="24"/>
          <w:szCs w:val="24"/>
        </w:rPr>
        <w:t>specialiųjų pirkimo sąlygų 2 priede</w:t>
      </w:r>
      <w:bookmarkEnd w:id="6"/>
      <w:r>
        <w:rPr>
          <w:rFonts w:cs="Times New Roman" w:ascii="Times New Roman" w:hAnsi="Times New Roman"/>
          <w:sz w:val="24"/>
          <w:szCs w:val="24"/>
        </w:rPr>
        <w:t xml:space="preserve"> „Techninė specifikacija“. Perkančioji organizacija sudarys vieną sutartį dėl pirkimo dalių, dėl kurių laimėtoju nustatytas tas pats tiekėjas.</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pPr>
        <w:pStyle w:val="Heading1"/>
        <w:spacing w:lineRule="atLeast" w:line="20" w:before="360" w:after="120"/>
        <w:contextualSpacing/>
        <w:rPr>
          <w:b/>
          <w:bCs/>
        </w:rPr>
      </w:pPr>
      <w:bookmarkStart w:id="7" w:name="_Toc213187613"/>
      <w:r>
        <w:rPr>
          <w:rFonts w:cs="Times New Roman" w:ascii="Times New Roman" w:hAnsi="Times New Roman"/>
          <w:b/>
          <w:bCs/>
          <w:color w:val="auto"/>
          <w:sz w:val="24"/>
          <w:szCs w:val="24"/>
        </w:rPr>
        <w:t xml:space="preserve">3. </w:t>
      </w:r>
      <w:bookmarkStart w:id="8" w:name="_Ref39740354"/>
      <w:bookmarkStart w:id="9" w:name="_Ref39427921"/>
      <w:bookmarkStart w:id="10" w:name="_Ref39427927"/>
      <w:r>
        <w:rPr>
          <w:rFonts w:cs="Times New Roman" w:ascii="Times New Roman" w:hAnsi="Times New Roman"/>
          <w:b/>
          <w:bCs/>
          <w:color w:val="auto"/>
          <w:sz w:val="24"/>
          <w:szCs w:val="24"/>
        </w:rPr>
        <w:t>Susitikimai su tiekėjais</w:t>
      </w:r>
      <w:bookmarkEnd w:id="9"/>
      <w:bookmarkEnd w:id="10"/>
      <w:r>
        <w:rPr>
          <w:rFonts w:cs="Times New Roman" w:ascii="Times New Roman" w:hAnsi="Times New Roman"/>
          <w:b/>
          <w:bCs/>
          <w:color w:val="auto"/>
          <w:sz w:val="24"/>
          <w:szCs w:val="24"/>
        </w:rPr>
        <w:t xml:space="preserve"> ir objekto apžiūra</w:t>
      </w:r>
      <w:bookmarkEnd w:id="7"/>
      <w:bookmarkEnd w:id="8"/>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Heading1"/>
        <w:spacing w:lineRule="atLeast" w:line="20" w:before="360" w:after="120"/>
        <w:contextualSpacing/>
        <w:rPr>
          <w:b/>
          <w:bCs/>
        </w:rPr>
      </w:pPr>
      <w:bookmarkStart w:id="11" w:name="_Toc213187614"/>
      <w:bookmarkStart w:id="12" w:name="_Ref39473754"/>
      <w:bookmarkStart w:id="13" w:name="_Ref39473761"/>
      <w:bookmarkStart w:id="14" w:name="_Ref39474188"/>
      <w:r>
        <w:rPr>
          <w:rFonts w:cs="Times New Roman" w:ascii="Times New Roman" w:hAnsi="Times New Roman"/>
          <w:b/>
          <w:bCs/>
          <w:color w:val="auto"/>
          <w:sz w:val="24"/>
          <w:szCs w:val="24"/>
        </w:rPr>
        <w:t>4. Tiekėjų pašalinimo pagrindai</w:t>
      </w:r>
      <w:bookmarkEnd w:id="12"/>
      <w:bookmarkEnd w:id="13"/>
      <w:bookmarkEnd w:id="14"/>
      <w:r>
        <w:rPr>
          <w:rFonts w:cs="Times New Roman" w:ascii="Times New Roman" w:hAnsi="Times New Roman"/>
          <w:b/>
          <w:bCs/>
          <w:color w:val="auto"/>
          <w:sz w:val="24"/>
          <w:szCs w:val="24"/>
        </w:rPr>
        <w:t xml:space="preserve"> ir kvalifikacijos reikalavimai</w:t>
      </w:r>
      <w:bookmarkEnd w:id="11"/>
    </w:p>
    <w:p>
      <w:pPr>
        <w:pStyle w:val="ListParagraph"/>
        <w:spacing w:lineRule="atLeast" w:line="20"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5" w:name="_Hlk41039660"/>
      <w:r>
        <w:rPr>
          <w:rFonts w:cs="Times New Roman" w:ascii="Times New Roman" w:hAnsi="Times New Roman"/>
          <w:sz w:val="24"/>
          <w:szCs w:val="24"/>
        </w:rPr>
        <w:t xml:space="preserve"> subtiekėjų (jei taikoma), ūkio subjektų, kurių pajėgumais tiekėjas remiasi, </w:t>
      </w:r>
      <w:bookmarkEnd w:id="15"/>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 xml:space="preserve">3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Times New Roman" w:hAnsi="Times New Roman" w:cs="Times New Roman"/>
          <w:sz w:val="24"/>
          <w:szCs w:val="24"/>
          <w:highlight w:val="yellow"/>
        </w:rPr>
      </w:pPr>
      <w:r>
        <w:rPr>
          <w:rFonts w:cs="Times New Roman" w:ascii="Times New Roman" w:hAnsi="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pPr>
        <w:pStyle w:val="Heading1"/>
        <w:tabs>
          <w:tab w:val="clear" w:pos="1296"/>
          <w:tab w:val="left" w:pos="567" w:leader="none"/>
        </w:tabs>
        <w:spacing w:before="360" w:after="0"/>
        <w:contextualSpacing/>
        <w:jc w:val="both"/>
        <w:rPr>
          <w:b/>
          <w:bCs/>
        </w:rPr>
      </w:pPr>
      <w:bookmarkStart w:id="16" w:name="_Toc213187615"/>
      <w:r>
        <w:rPr>
          <w:rFonts w:cs="Times New Roman" w:ascii="Times New Roman" w:hAnsi="Times New Roman"/>
          <w:b/>
          <w:bCs/>
          <w:color w:val="auto"/>
          <w:sz w:val="24"/>
          <w:szCs w:val="24"/>
        </w:rPr>
        <w:t>5. Reikalavimai, susiję su nacionaliniu saugumu</w:t>
      </w:r>
      <w:bookmarkEnd w:id="16"/>
      <w:r>
        <w:rPr>
          <w:rFonts w:cs="Times New Roman" w:ascii="Times New Roman" w:hAnsi="Times New Roman"/>
          <w:b/>
          <w:bCs/>
          <w:color w:val="auto"/>
          <w:sz w:val="24"/>
          <w:szCs w:val="24"/>
        </w:rPr>
        <w:t xml:space="preserve"> </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5.1. Pirkimui netaikomos Reglamento nuostatos. </w:t>
      </w:r>
    </w:p>
    <w:p>
      <w:pPr>
        <w:pStyle w:val="Normal"/>
        <w:spacing w:lineRule="auto" w:line="240" w:before="0" w:after="0"/>
        <w:ind w:firstLine="567"/>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Heading1"/>
        <w:spacing w:lineRule="atLeast" w:line="20" w:before="360" w:after="120"/>
        <w:contextualSpacing/>
        <w:rPr>
          <w:rFonts w:ascii="Times New Roman" w:hAnsi="Times New Roman" w:cs="Times New Roman"/>
          <w:color w:val="auto"/>
          <w:sz w:val="24"/>
          <w:szCs w:val="24"/>
        </w:rPr>
      </w:pPr>
      <w:bookmarkStart w:id="17" w:name="_Ref39666794"/>
      <w:bookmarkStart w:id="18" w:name="_Ref39666796"/>
      <w:bookmarkStart w:id="19" w:name="_Toc213187616"/>
      <w:r>
        <w:rPr>
          <w:rFonts w:cs="Times New Roman" w:ascii="Times New Roman" w:hAnsi="Times New Roman"/>
          <w:b/>
          <w:bCs/>
          <w:color w:val="auto"/>
          <w:sz w:val="24"/>
          <w:szCs w:val="24"/>
        </w:rPr>
        <w:t>6.</w:t>
      </w:r>
      <w:r>
        <w:rPr>
          <w:rFonts w:cs="Times New Roman" w:ascii="Times New Roman" w:hAnsi="Times New Roman"/>
          <w:color w:val="auto"/>
          <w:sz w:val="24"/>
          <w:szCs w:val="24"/>
        </w:rPr>
        <w:t xml:space="preserve"> </w:t>
      </w:r>
      <w:r>
        <w:rPr>
          <w:rFonts w:cs="Times New Roman" w:ascii="Times New Roman" w:hAnsi="Times New Roman"/>
          <w:b/>
          <w:bCs/>
          <w:color w:val="auto"/>
          <w:sz w:val="24"/>
          <w:szCs w:val="24"/>
        </w:rPr>
        <w:t>Specialieji reikalavimai pasiūlymų rengimui ir pateikimui</w:t>
      </w:r>
      <w:bookmarkEnd w:id="17"/>
      <w:bookmarkEnd w:id="18"/>
      <w:bookmarkEnd w:id="19"/>
    </w:p>
    <w:p>
      <w:pPr>
        <w:pStyle w:val="Normal"/>
        <w:spacing w:lineRule="atLeast" w:line="20" w:before="0" w:after="0"/>
        <w:ind w:firstLine="567"/>
        <w:jc w:val="both"/>
        <w:rPr>
          <w:rFonts w:ascii="Times New Roman" w:hAnsi="Times New Roman" w:cs="Times New Roman"/>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EBVPD (specialiųjų pirkimo sąlygų 5 priedas). Pateikdamas pasiūlymą, tiekėjas patvirtina ir EBVPD tikrumą;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pateikė pasiūlymą (jei jis ne tiekėjo vadovas), turėjo teisę jį pasirašyti;</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subtiekėjus, subtiekėjo deklaracija ar kitas dokumentas, patvirtinantis jo sutikimą būti subtiekėju pirkime;</w:t>
      </w:r>
    </w:p>
    <w:p>
      <w:pPr>
        <w:pStyle w:val="ListParagraph"/>
        <w:numPr>
          <w:ilvl w:val="0"/>
          <w:numId w:val="0"/>
        </w:numPr>
        <w:tabs>
          <w:tab w:val="clear" w:pos="1296"/>
          <w:tab w:val="left" w:pos="1276" w:leader="none"/>
        </w:tabs>
        <w:spacing w:lineRule="auto" w:line="240" w:before="0" w:after="0"/>
        <w:ind w:hanging="0" w:left="0"/>
        <w:contextualSpacing/>
        <w:jc w:val="both"/>
        <w:rPr>
          <w:rFonts w:ascii="Times New Roman" w:hAnsi="Times New Roman" w:cs="Times New Roman"/>
          <w:sz w:val="24"/>
          <w:szCs w:val="24"/>
          <w:u w:val="single"/>
        </w:rPr>
      </w:pPr>
      <w:r>
        <w:rPr>
          <w:rFonts w:cs="Times New Roman" w:ascii="Times New Roman" w:hAnsi="Times New Roman"/>
          <w:sz w:val="24"/>
          <w:szCs w:val="24"/>
          <w:u w:val="single"/>
        </w:rPr>
      </w:r>
    </w:p>
    <w:p>
      <w:pPr>
        <w:pStyle w:val="Normal"/>
        <w:spacing w:lineRule="auto" w:line="240" w:before="0" w:after="0"/>
        <w:ind w:firstLine="567"/>
        <w:jc w:val="both"/>
        <w:rPr>
          <w:rFonts w:ascii="Times New Roman" w:hAnsi="Times New Roman" w:eastAsia="Calibri" w:cs="Times New Roman"/>
          <w:bCs/>
          <w:iCs/>
          <w:sz w:val="24"/>
          <w:szCs w:val="24"/>
        </w:rPr>
      </w:pPr>
      <w:r>
        <w:rPr>
          <w:rFonts w:cs="Times New Roman" w:ascii="Times New Roman" w:hAnsi="Times New Roman"/>
          <w:sz w:val="24"/>
          <w:szCs w:val="24"/>
        </w:rPr>
        <w:t>6.2. Perkančioji organizacija nereikalauja, kad pasiūlymas būtų pasirašytas.</w:t>
      </w:r>
    </w:p>
    <w:p>
      <w:pPr>
        <w:pStyle w:val="ListParagraph"/>
        <w:tabs>
          <w:tab w:val="clear" w:pos="1296"/>
          <w:tab w:val="left" w:pos="1276" w:leader="none"/>
          <w:tab w:val="left" w:pos="1418" w:leader="none"/>
        </w:tabs>
        <w:spacing w:lineRule="auto" w:line="240" w:before="0" w:after="0"/>
        <w:ind w:left="567"/>
        <w:contextualSpacing/>
        <w:jc w:val="both"/>
        <w:rPr>
          <w:rFonts w:ascii="Times New Roman" w:hAnsi="Times New Roman" w:cs="Times New Roman"/>
          <w:bCs/>
          <w:iCs/>
          <w:sz w:val="24"/>
          <w:szCs w:val="24"/>
        </w:rPr>
      </w:pPr>
      <w:r>
        <w:rPr>
          <w:rFonts w:cs="Times New Roman" w:ascii="Times New Roman" w:hAnsi="Times New Roman"/>
          <w:bCs/>
          <w:iCs/>
          <w:sz w:val="24"/>
          <w:szCs w:val="24"/>
        </w:rPr>
      </w:r>
    </w:p>
    <w:p>
      <w:pPr>
        <w:pStyle w:val="Normal"/>
        <w:tabs>
          <w:tab w:val="clear" w:pos="1296"/>
          <w:tab w:val="left" w:pos="993" w:leader="none"/>
        </w:tabs>
        <w:spacing w:lineRule="auto" w:line="240"/>
        <w:ind w:firstLine="567"/>
        <w:jc w:val="both"/>
        <w:rPr>
          <w:rFonts w:ascii="Times New Roman" w:hAnsi="Times New Roman" w:cs="Times New Roman"/>
          <w:sz w:val="24"/>
          <w:szCs w:val="24"/>
        </w:rPr>
      </w:pPr>
      <w:r>
        <w:rPr>
          <w:rFonts w:cs="Times New Roman" w:ascii="Times New Roman" w:hAnsi="Times New Roman"/>
          <w:sz w:val="24"/>
          <w:szCs w:val="24"/>
        </w:rPr>
        <w:t xml:space="preserve">6.3. Pasiūlymas turi būti parengtas lietuvių kalba arba anglų kalba (tačiau, viešojo pirkimo komisijai pareikalavus, turės būti pateikti dokumentų vertimai į lietuvių kalbą).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su visais mokesčiais, įskaitant PVM. </w:t>
      </w:r>
    </w:p>
    <w:p>
      <w:pPr>
        <w:pStyle w:val="Heading1"/>
        <w:numPr>
          <w:ilvl w:val="0"/>
          <w:numId w:val="19"/>
        </w:numPr>
        <w:tabs>
          <w:tab w:val="clear" w:pos="1296"/>
          <w:tab w:val="left" w:pos="709" w:leader="none"/>
        </w:tabs>
        <w:rPr>
          <w:b/>
          <w:bCs/>
        </w:rPr>
      </w:pPr>
      <w:bookmarkStart w:id="20" w:name="_Ref39430768"/>
      <w:bookmarkStart w:id="21" w:name="_Ref39430779"/>
      <w:bookmarkStart w:id="22" w:name="_Toc213187617"/>
      <w:bookmarkStart w:id="23" w:name="_Toc91497102"/>
      <w:bookmarkStart w:id="24" w:name="_Toc91497103"/>
      <w:bookmarkStart w:id="25" w:name="_Toc91497104"/>
      <w:bookmarkStart w:id="26" w:name="_Toc91497105"/>
      <w:bookmarkStart w:id="27" w:name="_Toc91497106"/>
      <w:bookmarkEnd w:id="23"/>
      <w:bookmarkEnd w:id="24"/>
      <w:bookmarkEnd w:id="25"/>
      <w:bookmarkEnd w:id="26"/>
      <w:bookmarkEnd w:id="27"/>
      <w:r>
        <w:rPr>
          <w:rFonts w:cs="Times New Roman" w:ascii="Times New Roman" w:hAnsi="Times New Roman"/>
          <w:b/>
          <w:bCs/>
          <w:color w:val="auto"/>
          <w:sz w:val="24"/>
          <w:szCs w:val="24"/>
        </w:rPr>
        <w:t>Pasiūlymo galiojimo užtikrinimas</w:t>
      </w:r>
      <w:bookmarkEnd w:id="20"/>
      <w:bookmarkEnd w:id="21"/>
      <w:bookmarkEnd w:id="22"/>
    </w:p>
    <w:p>
      <w:pPr>
        <w:pStyle w:val="ListParagraph"/>
        <w:spacing w:lineRule="auto" w:line="240" w:before="0" w:after="0"/>
        <w:ind w:firstLine="567" w:left="0"/>
        <w:contextualSpacing/>
        <w:jc w:val="both"/>
        <w:rPr>
          <w:rFonts w:eastAsia="Calibri"/>
          <w:i/>
          <w:i/>
          <w:iCs/>
        </w:rPr>
      </w:pPr>
      <w:r>
        <w:rPr>
          <w:rFonts w:cs="Times New Roman" w:ascii="Times New Roman" w:hAnsi="Times New Roman"/>
          <w:sz w:val="24"/>
          <w:szCs w:val="24"/>
        </w:rPr>
        <w:t xml:space="preserve">7.1. </w:t>
      </w:r>
      <w:r>
        <w:rPr>
          <w:rFonts w:eastAsia="Calibri" w:cs="Times New Roman" w:ascii="Times New Roman"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numPr>
          <w:ilvl w:val="0"/>
          <w:numId w:val="17"/>
        </w:numPr>
        <w:tabs>
          <w:tab w:val="clear" w:pos="1296"/>
          <w:tab w:val="left" w:pos="709" w:leader="none"/>
        </w:tabs>
        <w:spacing w:lineRule="atLeast" w:line="20" w:before="360" w:after="120"/>
        <w:contextualSpacing/>
        <w:rPr>
          <w:b/>
          <w:bCs/>
        </w:rPr>
      </w:pPr>
      <w:bookmarkStart w:id="28" w:name="_Ref39658218"/>
      <w:bookmarkStart w:id="29" w:name="_Ref39658226"/>
      <w:bookmarkStart w:id="30" w:name="_Ref39658248"/>
      <w:bookmarkStart w:id="31" w:name="_Ref39658251"/>
      <w:bookmarkStart w:id="32" w:name="_Toc213187618"/>
      <w:r>
        <w:rPr>
          <w:rFonts w:cs="Times New Roman" w:ascii="Times New Roman" w:hAnsi="Times New Roman"/>
          <w:b/>
          <w:bCs/>
          <w:color w:val="auto"/>
          <w:sz w:val="24"/>
          <w:szCs w:val="24"/>
        </w:rPr>
        <w:t>Elektroninis aukcionas</w:t>
      </w:r>
      <w:bookmarkEnd w:id="28"/>
      <w:bookmarkEnd w:id="29"/>
      <w:bookmarkEnd w:id="30"/>
      <w:bookmarkEnd w:id="31"/>
      <w:bookmarkEnd w:id="32"/>
    </w:p>
    <w:p>
      <w:pPr>
        <w:pStyle w:val="Normal"/>
        <w:spacing w:lineRule="auto" w:line="240" w:before="0" w:after="0"/>
        <w:ind w:hanging="143"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Heading1"/>
        <w:numPr>
          <w:ilvl w:val="0"/>
          <w:numId w:val="17"/>
        </w:numPr>
        <w:tabs>
          <w:tab w:val="clear" w:pos="1296"/>
          <w:tab w:val="left" w:pos="709" w:leader="none"/>
        </w:tabs>
        <w:spacing w:lineRule="atLeast" w:line="20" w:before="360" w:after="120"/>
        <w:contextualSpacing/>
        <w:rPr>
          <w:b/>
          <w:bCs/>
        </w:rPr>
      </w:pPr>
      <w:bookmarkStart w:id="33" w:name="_Ref39667303"/>
      <w:bookmarkStart w:id="34" w:name="_Ref39667308"/>
      <w:bookmarkStart w:id="35" w:name="_Toc213187619"/>
      <w:bookmarkStart w:id="36" w:name="_Ref39485250"/>
      <w:bookmarkStart w:id="37" w:name="_Ref39485258"/>
      <w:r>
        <w:rPr>
          <w:rFonts w:cs="Times New Roman" w:ascii="Times New Roman" w:hAnsi="Times New Roman"/>
          <w:b/>
          <w:bCs/>
          <w:color w:val="auto"/>
          <w:sz w:val="24"/>
          <w:szCs w:val="24"/>
        </w:rPr>
        <w:t>Pasiūlymų vertinimas</w:t>
      </w:r>
      <w:bookmarkEnd w:id="33"/>
      <w:bookmarkEnd w:id="34"/>
      <w:bookmarkEnd w:id="35"/>
      <w:bookmarkEnd w:id="36"/>
      <w:bookmarkEnd w:id="37"/>
    </w:p>
    <w:p>
      <w:pPr>
        <w:pStyle w:val="Normal"/>
        <w:spacing w:lineRule="auto" w:line="240" w:before="0" w:after="0"/>
        <w:ind w:firstLine="567"/>
        <w:jc w:val="both"/>
        <w:rPr>
          <w:rFonts w:ascii="Times New Roman" w:hAnsi="Times New Roman" w:eastAsia="Calibri" w:cs="Times New Roman" w:eastAsiaTheme="minorHAnsi"/>
          <w:bCs/>
          <w:iCs/>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rPr>
        <w:t xml:space="preserve"> priede.</w:t>
      </w:r>
    </w:p>
    <w:p>
      <w:pPr>
        <w:pStyle w:val="NoSpacing"/>
        <w:spacing w:lineRule="atLeast" w:line="20" w:before="0" w:after="0"/>
        <w:ind w:firstLine="567"/>
        <w:contextualSpacing/>
        <w:jc w:val="both"/>
        <w:rPr>
          <w:rFonts w:ascii="Times New Roman" w:hAnsi="Times New Roman" w:cs="Times New Roman"/>
          <w:sz w:val="24"/>
          <w:szCs w:val="24"/>
        </w:rPr>
      </w:pPr>
      <w:r>
        <w:rPr>
          <w:rFonts w:cs="Times New Roman" w:ascii="Times New Roman" w:hAnsi="Times New Roman"/>
          <w:sz w:val="24"/>
          <w:szCs w:val="24"/>
        </w:rPr>
        <w:t xml:space="preserve">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cs="Times New Roman" w:ascii="Times New Roman" w:hAnsi="Times New Roman"/>
          <w:sz w:val="24"/>
          <w:szCs w:val="24"/>
          <w:shd w:fill="FFFFFF" w:val="clear"/>
        </w:rPr>
        <w:t xml:space="preserve">7 </w:t>
      </w:r>
      <w:r>
        <w:rPr>
          <w:rFonts w:cs="Times New Roman" w:ascii="Times New Roman" w:hAnsi="Times New Roman"/>
          <w:sz w:val="24"/>
          <w:szCs w:val="24"/>
        </w:rPr>
        <w:t xml:space="preserve">priede nustatytomis taisyklėmis. </w:t>
      </w:r>
    </w:p>
    <w:p>
      <w:pPr>
        <w:pStyle w:val="NoSpacing"/>
        <w:numPr>
          <w:ilvl w:val="1"/>
          <w:numId w:val="7"/>
        </w:numPr>
        <w:tabs>
          <w:tab w:val="clear" w:pos="1296"/>
          <w:tab w:val="left" w:pos="993" w:leader="none"/>
        </w:tabs>
        <w:spacing w:lineRule="atLeast" w:line="20" w:before="0" w:after="0"/>
        <w:ind w:firstLine="567" w:left="0"/>
        <w:contextualSpacing/>
        <w:jc w:val="both"/>
        <w:rPr>
          <w:rFonts w:ascii="Times New Roman" w:hAnsi="Times New Roman" w:eastAsia="Calibri" w:cs="Times New Roman" w:eastAsiaTheme="minorHAnsi"/>
          <w:bCs/>
          <w:sz w:val="24"/>
          <w:szCs w:val="24"/>
        </w:rPr>
      </w:pPr>
      <w:r>
        <w:rPr>
          <w:rStyle w:val="Cf01"/>
          <w:rFonts w:cs="Times New Roman" w:ascii="Times New Roman" w:hAnsi="Times New Roman"/>
          <w:b/>
          <w:bCs/>
          <w:sz w:val="24"/>
          <w:szCs w:val="24"/>
        </w:rPr>
        <w:t>Perkančioji organizacija atmes tiekėjo pasiūlymą, jeigu kartu su pasiūlymu nebus pateikti šie pirkimo sąlygose reikalaujami pateikti dokumentai:</w:t>
      </w:r>
      <w:r>
        <w:rPr>
          <w:rStyle w:val="Cf01"/>
          <w:rFonts w:cs="Times New Roman" w:ascii="Times New Roman" w:hAnsi="Times New Roman"/>
          <w:sz w:val="24"/>
          <w:szCs w:val="24"/>
        </w:rPr>
        <w:t xml:space="preserve"> </w:t>
      </w:r>
      <w:r>
        <w:rPr>
          <w:rFonts w:eastAsia="Calibri" w:cs="Times New Roman" w:ascii="Times New Roman" w:hAnsi="Times New Roman" w:eastAsiaTheme="minorHAnsi"/>
          <w:b/>
          <w:bCs/>
          <w:sz w:val="24"/>
          <w:szCs w:val="24"/>
        </w:rPr>
        <w:t>pirkimo sąlygų 6.1.1 punkte numatytas tiekėjo pasiūlymas (6 priedas)</w:t>
      </w:r>
      <w:bookmarkStart w:id="38" w:name="_Hlk213110955"/>
      <w:r>
        <w:rPr>
          <w:rFonts w:eastAsia="Calibri" w:cs="Times New Roman" w:ascii="Times New Roman" w:hAnsi="Times New Roman" w:eastAsiaTheme="minorHAnsi"/>
          <w:b/>
          <w:bCs/>
          <w:sz w:val="24"/>
          <w:szCs w:val="24"/>
        </w:rPr>
        <w:t>.</w:t>
      </w:r>
      <w:r>
        <w:rPr>
          <w:rFonts w:eastAsia="Calibri" w:cs="Times New Roman" w:ascii="Times New Roman" w:hAnsi="Times New Roman" w:eastAsiaTheme="minorHAnsi"/>
          <w:bCs/>
          <w:sz w:val="24"/>
          <w:szCs w:val="24"/>
        </w:rPr>
        <w:t xml:space="preserve">  </w:t>
      </w:r>
    </w:p>
    <w:p>
      <w:pPr>
        <w:pStyle w:val="Heading1"/>
        <w:numPr>
          <w:ilvl w:val="0"/>
          <w:numId w:val="7"/>
        </w:numPr>
        <w:tabs>
          <w:tab w:val="clear" w:pos="1296"/>
          <w:tab w:val="left" w:pos="567" w:leader="none"/>
        </w:tabs>
        <w:spacing w:lineRule="atLeast" w:line="20" w:before="360" w:after="120"/>
        <w:contextualSpacing/>
        <w:rPr>
          <w:b/>
          <w:bCs/>
        </w:rPr>
      </w:pPr>
      <w:bookmarkStart w:id="39" w:name="_Ref39425999"/>
      <w:bookmarkStart w:id="40" w:name="_Ref39426005"/>
      <w:bookmarkStart w:id="41" w:name="_Toc213187620"/>
      <w:bookmarkEnd w:id="38"/>
      <w:r>
        <w:rPr>
          <w:rFonts w:cs="Times New Roman" w:ascii="Times New Roman" w:hAnsi="Times New Roman"/>
          <w:b/>
          <w:bCs/>
          <w:color w:val="auto"/>
          <w:sz w:val="24"/>
          <w:szCs w:val="24"/>
        </w:rPr>
        <w:t>Prekių pavyzdžių pateikimas</w:t>
      </w:r>
      <w:bookmarkEnd w:id="39"/>
      <w:bookmarkEnd w:id="40"/>
      <w:bookmarkEnd w:id="41"/>
    </w:p>
    <w:p>
      <w:pPr>
        <w:pStyle w:val="ListParagraph"/>
        <w:numPr>
          <w:ilvl w:val="1"/>
          <w:numId w:val="5"/>
        </w:numPr>
        <w:tabs>
          <w:tab w:val="clear" w:pos="1296"/>
          <w:tab w:val="left" w:pos="1134" w:leader="none"/>
        </w:tabs>
        <w:spacing w:lineRule="auto" w:line="240" w:before="0" w:after="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 xml:space="preserve">Perkančioji organizacija nereikalauja prekių pavyzdžių. </w:t>
      </w:r>
    </w:p>
    <w:p>
      <w:pPr>
        <w:pStyle w:val="ListParagraph"/>
        <w:numPr>
          <w:ilvl w:val="0"/>
          <w:numId w:val="0"/>
        </w:numPr>
        <w:tabs>
          <w:tab w:val="clear" w:pos="1296"/>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5"/>
        </w:numPr>
        <w:tabs>
          <w:tab w:val="clear" w:pos="1296"/>
          <w:tab w:val="left" w:pos="567" w:leader="none"/>
        </w:tabs>
        <w:spacing w:lineRule="atLeast" w:line="20" w:before="360" w:after="120"/>
        <w:contextualSpacing/>
        <w:jc w:val="both"/>
        <w:rPr>
          <w:b/>
          <w:bCs/>
        </w:rPr>
      </w:pPr>
      <w:bookmarkStart w:id="42" w:name="_Toc213187621"/>
      <w:r>
        <w:rPr>
          <w:rFonts w:cs="Times New Roman" w:ascii="Times New Roman" w:hAnsi="Times New Roman"/>
          <w:b/>
          <w:bCs/>
          <w:color w:val="auto"/>
          <w:sz w:val="24"/>
          <w:szCs w:val="24"/>
        </w:rPr>
        <w:t>Sutarties sudarymas</w:t>
      </w:r>
      <w:bookmarkEnd w:id="42"/>
    </w:p>
    <w:p>
      <w:pPr>
        <w:pStyle w:val="Normal"/>
        <w:shd w:val="clear" w:color="auto" w:fill="FFFFFF"/>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10 Pirkimo sąlygų priede „Sutarties projektas“.</w:t>
      </w:r>
    </w:p>
    <w:p>
      <w:pPr>
        <w:sectPr>
          <w:headerReference w:type="default" r:id="rId4"/>
          <w:footerReference w:type="default" r:id="rId5"/>
          <w:footerReference w:type="first" r:id="rId6"/>
          <w:type w:val="nextPage"/>
          <w:pgSz w:w="12240" w:h="15840"/>
          <w:pgMar w:left="1701" w:right="567" w:gutter="0" w:header="720" w:top="1134" w:footer="720" w:bottom="1134"/>
          <w:pgNumType w:start="0" w:fmt="decimal"/>
          <w:formProt w:val="false"/>
          <w:titlePg/>
          <w:textDirection w:val="lrTb"/>
          <w:docGrid w:type="default" w:linePitch="360" w:charSpace="11468"/>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jc w:val="right"/>
        <w:rPr>
          <w:rFonts w:ascii="Times New Roman" w:hAnsi="Times New Roman" w:cs="Times New Roman"/>
          <w:color w:val="auto"/>
          <w:sz w:val="24"/>
          <w:szCs w:val="24"/>
        </w:rPr>
      </w:pPr>
      <w:bookmarkStart w:id="43" w:name="_Toc213187622"/>
      <w:r>
        <w:rPr>
          <w:rFonts w:cs="Times New Roman" w:ascii="Times New Roman" w:hAnsi="Times New Roman"/>
          <w:color w:val="auto"/>
          <w:sz w:val="24"/>
          <w:szCs w:val="24"/>
        </w:rPr>
        <w:t>Pirkimo sąlygų 1 priedas „Terminai“</w:t>
      </w:r>
      <w:bookmarkEnd w:id="43"/>
    </w:p>
    <w:p>
      <w:pPr>
        <w:pStyle w:val="Normal"/>
        <w:shd w:val="clear" w:color="auto" w:fill="FFFFFF"/>
        <w:spacing w:lineRule="auto" w:line="240" w:before="0" w:after="0"/>
        <w:jc w:val="right"/>
        <w:rPr>
          <w:rFonts w:ascii="Times New Roman" w:hAnsi="Times New Roman" w:eastAsia="Calibri" w:cs="Times New Roman"/>
          <w:sz w:val="24"/>
          <w:szCs w:val="24"/>
        </w:rPr>
      </w:pPr>
      <w:r>
        <w:rPr>
          <w:rFonts w:eastAsia="Calibri" w:cs="Times New Roman" w:ascii="Times New Roman" w:hAnsi="Times New Roman"/>
          <w:sz w:val="24"/>
          <w:szCs w:val="24"/>
        </w:rPr>
      </w:r>
    </w:p>
    <w:tbl>
      <w:tblPr>
        <w:tblW w:w="966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02"/>
        <w:gridCol w:w="3521"/>
        <w:gridCol w:w="5245"/>
      </w:tblGrid>
      <w:tr>
        <w:trPr>
          <w:trHeight w:val="20" w:hRule="atLeast"/>
        </w:trPr>
        <w:tc>
          <w:tcPr>
            <w:tcW w:w="90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Eil.Nr.</w:t>
            </w:r>
          </w:p>
        </w:tc>
        <w:tc>
          <w:tcPr>
            <w:tcW w:w="352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VEIKSMAS</w:t>
            </w:r>
          </w:p>
        </w:tc>
        <w:tc>
          <w:tcPr>
            <w:tcW w:w="52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b/>
                <w:sz w:val="24"/>
                <w:szCs w:val="24"/>
              </w:rPr>
            </w:pPr>
            <w:r>
              <w:rPr>
                <w:rFonts w:cs="Times New Roman" w:ascii="Times New Roman" w:hAnsi="Times New Roman"/>
                <w:b/>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1.</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bCs/>
                <w:sz w:val="24"/>
                <w:szCs w:val="24"/>
              </w:rPr>
              <w:t>Pasiūlymų pateikimo terminas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Nurodytas skelbime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bCs/>
                <w:i/>
                <w:iCs/>
                <w:sz w:val="24"/>
                <w:szCs w:val="24"/>
              </w:rPr>
              <w:t>PASTABA:</w:t>
            </w:r>
            <w:r>
              <w:rPr>
                <w:rFonts w:cs="Times New Roman" w:ascii="Times New Roman" w:hAnsi="Times New Roman"/>
                <w:i/>
                <w:iCs/>
                <w:sz w:val="24"/>
                <w:szCs w:val="24"/>
              </w:rPr>
              <w:t xml:space="preserve"> Perkančioji organizacija turi teisę pratęsti pasiūlymų pateikimo terminą.</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2.</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Pradedamas ne anksčiau nei po 30 minučių po pasiūlymų pateikimo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3.</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sz w:val="24"/>
                <w:szCs w:val="24"/>
              </w:rPr>
              <w:t>Prašymą paaiškinti, patikslinti pirkimo sąlygas tiekėjas turi pateikti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(šešioms) dienoms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 (keturioms) dienoms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Objekto apžiūra bus vykdoma: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887"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rengs susitikimus su tiekėjais dėl pirkimo sąlygų paaiškinimo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i w:val="false"/>
                <w:i w:val="false"/>
                <w:iCs w:val="false"/>
                <w:highlight w:val="none"/>
                <w:shd w:fill="FFFFFF" w:val="clear"/>
              </w:rPr>
            </w:pPr>
            <w:r>
              <w:rPr>
                <w:rFonts w:cs="Times New Roman" w:ascii="Times New Roman" w:hAnsi="Times New Roman"/>
                <w:i w:val="false"/>
                <w:iCs w:val="false"/>
                <w:sz w:val="24"/>
                <w:szCs w:val="24"/>
                <w:shd w:fill="FFFFFF" w:val="clear"/>
              </w:rPr>
              <w:t>Tiekėjai turi pateikti prekių pavyzdžius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i w:val="false"/>
                <w:i w:val="false"/>
                <w:iCs w:val="false"/>
                <w:highlight w:val="none"/>
                <w:shd w:fill="FFFFFF" w:val="clear"/>
              </w:rPr>
            </w:pPr>
            <w:r>
              <w:rPr>
                <w:rFonts w:cs="Times New Roman" w:ascii="Times New Roman" w:hAnsi="Times New Roman"/>
                <w:i w:val="false"/>
                <w:iCs w:val="false"/>
                <w:sz w:val="24"/>
                <w:szCs w:val="24"/>
                <w:shd w:fill="FFFFFF" w:val="clear"/>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Pasiūlymo galiojimo ir pasiūlymo galiojimo užtikrinimo (jei taikoma) terminas ne trumpesnis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90 (devyniasdešimt) dienų nuo pasiūlymų pateikimo galutinio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 w:cs="Times New Roman" w:eastAsiaTheme="minorEastAsia"/>
                <w:iCs/>
                <w:sz w:val="24"/>
                <w:szCs w:val="24"/>
                <w:highlight w:val="none"/>
                <w:shd w:fill="FFFFFF" w:val="clear"/>
              </w:rPr>
            </w:pPr>
            <w:r>
              <w:rPr>
                <w:rFonts w:eastAsia="" w:cs="Times New Roman" w:ascii="Times New Roman" w:hAnsi="Times New Roman" w:eastAsiaTheme="minorEastAsia"/>
                <w:iCs/>
                <w:sz w:val="24"/>
                <w:szCs w:val="24"/>
                <w:shd w:fill="FFFFFF" w:val="clear"/>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Pasiūlymo galiojimo užtikrinimas pirkimo dalyviui grąžinamas (arba atsisakoma teisių į jį)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eastAsia="" w:cs="Times New Roman" w:eastAsiaTheme="minorEastAsia"/>
                <w:iCs/>
                <w:sz w:val="24"/>
                <w:szCs w:val="24"/>
                <w:highlight w:val="none"/>
                <w:shd w:fill="FFFFFF" w:val="clear"/>
              </w:rPr>
            </w:pPr>
            <w:r>
              <w:rPr>
                <w:rFonts w:eastAsia="" w:cs="Times New Roman" w:ascii="Times New Roman" w:hAnsi="Times New Roman" w:eastAsiaTheme="minorEastAsia"/>
                <w:iCs/>
                <w:sz w:val="24"/>
                <w:szCs w:val="24"/>
                <w:shd w:fill="FFFFFF" w:val="clear"/>
              </w:rPr>
              <w:t>NETAIKOMA</w:t>
            </w:r>
          </w:p>
          <w:p>
            <w:pPr>
              <w:pStyle w:val="Normal"/>
              <w:spacing w:lineRule="auto" w:line="240" w:before="0" w:after="0"/>
              <w:jc w:val="both"/>
              <w:rPr>
                <w:rFonts w:ascii="Times New Roman" w:hAnsi="Times New Roman" w:eastAsia="" w:cs="Times New Roman" w:eastAsiaTheme="minorEastAsia"/>
                <w:sz w:val="24"/>
                <w:szCs w:val="24"/>
                <w:highlight w:val="none"/>
                <w:shd w:fill="FFFFFF" w:val="clear"/>
              </w:rPr>
            </w:pPr>
            <w:r>
              <w:rPr>
                <w:rFonts w:eastAsia="" w:cs="Times New Roman" w:eastAsiaTheme="minorEastAsia" w:ascii="Times New Roman" w:hAnsi="Times New Roman"/>
                <w:sz w:val="24"/>
                <w:szCs w:val="24"/>
                <w:shd w:fill="FFFFFF" w:val="clear"/>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informuoja pirkimo dalyvius apie EBVPD vertinimo rezultatus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 xml:space="preserve">Perkančioji organizacija pirkimo dalyviams praneša apie priimtą sprendimą nustatyti laimėjusį pasiūlymą, </w:t>
            </w:r>
            <w:r>
              <w:rPr>
                <w:rFonts w:cs="Times New Roman" w:ascii="Times New Roman" w:hAnsi="Times New Roman"/>
                <w:sz w:val="24"/>
                <w:szCs w:val="24"/>
              </w:rPr>
              <w:t>dėl kurio bus sudaroma</w:t>
            </w:r>
            <w:r>
              <w:rPr>
                <w:rFonts w:cs="Times New Roman" w:ascii="Times New Roman" w:hAnsi="Times New Roman"/>
                <w:bCs/>
                <w:sz w:val="24"/>
                <w:szCs w:val="24"/>
              </w:rPr>
              <w:t xml:space="preserve"> sutartis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pirkimo dalyviui raštu paprašius, jam pateikia VPĮ 58 straipsnio 2 dalyje nustatytą informaciją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15 (penkiolika) dienų nuo pirkimo dalyvio raštu pateikto prašymo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bCs/>
                <w:sz w:val="24"/>
                <w:szCs w:val="24"/>
              </w:rPr>
              <w:t>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5 (penkias) darbo dienas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r>
              <w:rPr>
                <w:rFonts w:cs="Times New Roman" w:ascii="Times New Roman" w:hAnsi="Times New Roman"/>
                <w:bCs/>
                <w:sz w:val="24"/>
                <w:szCs w:val="24"/>
              </w:rPr>
              <w:t xml:space="preserve"> (išskyrus ieškinį dėl sutarties pripažinimo negaliojančia)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sz w:val="24"/>
                <w:szCs w:val="24"/>
              </w:rPr>
              <w:t>5 (penkias) darbo dienas,</w:t>
            </w:r>
            <w:r>
              <w:rPr>
                <w:rFonts w:cs="Times New Roman" w:ascii="Times New Roman" w:hAnsi="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Jeigu </w:t>
            </w:r>
            <w:r>
              <w:rPr>
                <w:rFonts w:cs="Times New Roman" w:ascii="Times New Roman" w:hAnsi="Times New Roman"/>
                <w:iCs/>
                <w:sz w:val="24"/>
                <w:szCs w:val="24"/>
              </w:rPr>
              <w:t>suinteresuotas dalyvis paprašys perkančiosios organizacijos pateikti laimėjusį pasiūlymą</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pPr>
        <w:pStyle w:val="Normal"/>
        <w:tabs>
          <w:tab w:val="clear" w:pos="1296"/>
          <w:tab w:val="left" w:pos="2977" w:leader="none"/>
        </w:tabs>
        <w:spacing w:lineRule="atLeast" w:line="20" w:before="0" w:after="12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4" w:name="_Ref38539939"/>
      <w:bookmarkStart w:id="45" w:name="_Ref38541068"/>
      <w:bookmarkStart w:id="46" w:name="_Ref38885053"/>
      <w:bookmarkStart w:id="47" w:name="_Ref38899023"/>
      <w:bookmarkStart w:id="48" w:name="_Toc213187623"/>
      <w:r>
        <w:rPr>
          <w:rFonts w:eastAsia="Calibri" w:cs="Times New Roman" w:ascii="Times New Roman" w:hAnsi="Times New Roman"/>
          <w:color w:val="auto"/>
          <w:sz w:val="24"/>
          <w:szCs w:val="24"/>
        </w:rPr>
        <w:t>Pirkimo sąlygų 2 priedas „Techninė specifikacija“</w:t>
      </w:r>
      <w:bookmarkEnd w:id="44"/>
      <w:bookmarkEnd w:id="45"/>
      <w:bookmarkEnd w:id="46"/>
      <w:bookmarkEnd w:id="47"/>
      <w:bookmarkEnd w:id="48"/>
    </w:p>
    <w:p>
      <w:pPr>
        <w:pStyle w:val="Normal"/>
        <w:jc w:val="center"/>
        <w:rPr>
          <w:rFonts w:ascii="Times New Roman" w:hAnsi="Times New Roman" w:cs="Times New Roman"/>
          <w:b/>
          <w:bCs/>
          <w:sz w:val="24"/>
          <w:szCs w:val="24"/>
        </w:rPr>
      </w:pPr>
      <w:r>
        <w:rPr>
          <w:rFonts w:cs="Times New Roman" w:ascii="Times New Roman" w:hAnsi="Times New Roman"/>
          <w:b/>
          <w:bC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TECHNINĖ SPECIFIKACIJA</w:t>
      </w:r>
    </w:p>
    <w:p>
      <w:pPr>
        <w:pStyle w:val="ListParagraph"/>
        <w:widowControl w:val="false"/>
        <w:numPr>
          <w:ilvl w:val="0"/>
          <w:numId w:val="18"/>
        </w:numPr>
        <w:tabs>
          <w:tab w:val="clear" w:pos="1296"/>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pPr>
        <w:pStyle w:val="ListParagraph"/>
        <w:widowControl w:val="false"/>
        <w:numPr>
          <w:ilvl w:val="0"/>
          <w:numId w:val="18"/>
        </w:numPr>
        <w:tabs>
          <w:tab w:val="clear" w:pos="1296"/>
          <w:tab w:val="left" w:pos="709" w:leader="none"/>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Techninės specifikacijos reikalavimai atskiroms pirkimo objekto dalims pateikiami atskiru dokumentu:   2 priedas. Techninė specifikacija – I-</w:t>
      </w:r>
      <w:r>
        <w:rPr>
          <w:rFonts w:eastAsia="Times New Roman" w:cs="Times New Roman" w:ascii="Times New Roman" w:hAnsi="Times New Roman"/>
          <w:sz w:val="24"/>
          <w:szCs w:val="24"/>
          <w:lang w:val="en-GB"/>
        </w:rPr>
        <w:t>V</w:t>
      </w:r>
      <w:r>
        <w:rPr>
          <w:rFonts w:eastAsia="Times New Roman" w:cs="Times New Roman" w:ascii="Times New Roman" w:hAnsi="Times New Roman"/>
          <w:sz w:val="24"/>
          <w:szCs w:val="24"/>
        </w:rPr>
        <w:t xml:space="preserve"> pirkimo objekto dalis.</w:t>
      </w:r>
    </w:p>
    <w:p>
      <w:pPr>
        <w:pStyle w:val="Normal"/>
        <w:widowControl w:val="false"/>
        <w:tabs>
          <w:tab w:val="clear" w:pos="1296"/>
          <w:tab w:val="left" w:pos="709" w:leader="none"/>
          <w:tab w:val="left" w:pos="1134" w:leader="none"/>
        </w:tabs>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9" w:name="_Ref38285444"/>
      <w:bookmarkStart w:id="50" w:name="_Ref38291496"/>
      <w:bookmarkStart w:id="51" w:name="_Toc213187624"/>
      <w:r>
        <w:rPr>
          <w:rFonts w:eastAsia="Calibri" w:cs="Times New Roman" w:ascii="Times New Roman" w:hAnsi="Times New Roman"/>
          <w:color w:val="auto"/>
          <w:sz w:val="24"/>
          <w:szCs w:val="24"/>
        </w:rPr>
        <w:t>Pirkimo sąlygų 3 priedas „Tiekėjų pašalinimo pagrindai“</w:t>
      </w:r>
      <w:bookmarkEnd w:id="49"/>
      <w:bookmarkEnd w:id="50"/>
      <w:bookmarkEnd w:id="51"/>
    </w:p>
    <w:p>
      <w:pPr>
        <w:pStyle w:val="Normal"/>
        <w:jc w:val="center"/>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TIEKĖJŲ PAŠALINIMO PAGRINDAI</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5"/>
        </w:numPr>
        <w:tabs>
          <w:tab w:val="clear" w:pos="1296"/>
          <w:tab w:val="left" w:pos="851" w:leader="none"/>
        </w:tabs>
        <w:ind w:firstLine="567" w:left="0"/>
        <w:jc w:val="both"/>
        <w:rPr>
          <w:rFonts w:ascii="Times New Roman" w:hAnsi="Times New Roman" w:cs="Times New Roman"/>
          <w:b/>
          <w:bCs/>
          <w:sz w:val="24"/>
          <w:szCs w:val="24"/>
        </w:rPr>
      </w:pPr>
      <w:r>
        <w:rPr>
          <w:rFonts w:cs="Times New Roman" w:ascii="Times New Roman" w:hAnsi="Times New Roman"/>
          <w:b/>
          <w:bCs/>
          <w:sz w:val="24"/>
          <w:szCs w:val="24"/>
        </w:rPr>
        <w:t xml:space="preserve">Pašalinimo pagrindai taikomi tiekėjui (kai pasiūlymą teikia ūkio subjektų grupė – visiems tos grupės nariams), ūkio subjektams, kurių pajėgumais tiekėjas remiasi ir pasiūlymo teikimo metu žinomiems subtiekėjams.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cs="Times New Roman" w:ascii="Times New Roman" w:hAnsi="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eastAsia="Verdana" w:cs="Times New Roman" w:ascii="Times New Roman" w:hAnsi="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tabs>
          <w:tab w:val="clear" w:pos="1296"/>
          <w:tab w:val="left" w:pos="851" w:leader="none"/>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3349"/>
        <w:gridCol w:w="2408"/>
        <w:gridCol w:w="3455"/>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b/>
                <w:bCs/>
                <w:sz w:val="24"/>
                <w:szCs w:val="24"/>
              </w:rPr>
            </w:pPr>
            <w:r>
              <w:rPr>
                <w:rFonts w:cs="Times New Roman" w:ascii="Times New Roman" w:hAnsi="Times New Roman"/>
                <w:b/>
                <w:bCs/>
                <w:sz w:val="24"/>
                <w:szCs w:val="24"/>
              </w:rPr>
              <w:t>Eil. Nr.</w:t>
            </w:r>
          </w:p>
        </w:tc>
        <w:tc>
          <w:tcPr>
            <w:tcW w:w="334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sz w:val="24"/>
                <w:szCs w:val="24"/>
                <w:lang w:eastAsia="en-US"/>
              </w:rPr>
            </w:pPr>
            <w:r>
              <w:rPr>
                <w:rFonts w:cs="Times New Roman" w:ascii="Times New Roman" w:hAnsi="Times New Roman"/>
                <w:b/>
                <w:sz w:val="24"/>
                <w:szCs w:val="24"/>
              </w:rPr>
              <w:t>Tiekėjo pašalinimo pagrindai</w:t>
            </w:r>
          </w:p>
        </w:tc>
        <w:tc>
          <w:tcPr>
            <w:tcW w:w="24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straipsnis,  dalis, punktas bei EBVPD formos dalis pildymui</w:t>
            </w:r>
          </w:p>
        </w:tc>
        <w:tc>
          <w:tcPr>
            <w:tcW w:w="345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iCs/>
                <w:sz w:val="24"/>
                <w:szCs w:val="24"/>
                <w:lang w:eastAsia="en-US"/>
              </w:rPr>
            </w:pPr>
            <w:r>
              <w:rPr>
                <w:rFonts w:cs="Times New Roman" w:ascii="Times New Roman" w:hAnsi="Times New Roman"/>
                <w:b/>
                <w:sz w:val="24"/>
                <w:szCs w:val="24"/>
              </w:rPr>
              <w:t>Pašalinimo pagrindų nebuvimą įrodantys dokumentai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dalyvavimą nusikalstamame susivienijime, jo organizavimą ar vadovavimą jam;</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kyšininkavimą, prekybą poveikiu, papirkimą;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4) nusikalstamą bankrotą;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5) teroristinį ir su teroristine veikla susijusį nusikaltimą;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6) nusikalstamu būdu gauto turto legalizavimą;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7) prekybą žmonėmis, vaiko pirkimą arba pardavimą;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3)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išrašo iš teismo sprendimo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ind w:hanging="360" w:left="314"/>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2¹ dalis</w:t>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sz w:val="24"/>
                <w:szCs w:val="24"/>
                <w:lang w:eastAsia="en-US"/>
              </w:rPr>
              <w:t>EBVPD III dalies D2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2)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Tačiau ši nuostata netaikoma, jeigu:</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įsiskolinimo suma neviršija 50 Eur (penkiasdešimt eurų);</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3455" w:type="dxa"/>
            <w:tcBorders>
              <w:top w:val="single" w:sz="4" w:space="0" w:color="000000"/>
              <w:left w:val="single" w:sz="4" w:space="0" w:color="000000"/>
              <w:bottom w:val="single" w:sz="4" w:space="0" w:color="000000"/>
              <w:right w:val="single" w:sz="4" w:space="0" w:color="000000"/>
            </w:tcBorders>
          </w:tcPr>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numPr>
                <w:ilvl w:val="0"/>
                <w:numId w:val="9"/>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išrašo iš teismo sprendimo (jei toks yra) arba Valstybinės mokesčių inspekcijos prie Lietuvos Respublikos finansų ministerijos išduoto dokumento,</w:t>
            </w:r>
          </w:p>
          <w:p>
            <w:pPr>
              <w:pStyle w:val="NoSpacing"/>
              <w:numPr>
                <w:ilvl w:val="0"/>
                <w:numId w:val="8"/>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3"/>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i/>
                <w:i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bCs/>
                <w:sz w:val="24"/>
                <w:szCs w:val="24"/>
              </w:rPr>
              <w:t>prašoma:</w:t>
            </w:r>
          </w:p>
          <w:p>
            <w:pPr>
              <w:pStyle w:val="NoSpacing"/>
              <w:tabs>
                <w:tab w:val="clear" w:pos="1296"/>
                <w:tab w:val="left" w:pos="256" w:leader="none"/>
              </w:tabs>
              <w:jc w:val="both"/>
              <w:rPr>
                <w:rFonts w:ascii="Times New Roman" w:hAnsi="Times New Roman" w:cs="Times New Roman"/>
                <w:bCs/>
                <w:sz w:val="24"/>
                <w:szCs w:val="24"/>
              </w:rPr>
            </w:pPr>
            <w:r>
              <w:rPr>
                <w:rFonts w:cs="Times New Roman"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Style w:val="Hyperlink"/>
                  <w:rFonts w:cs="Times New Roman" w:ascii="Times New Roman" w:hAnsi="Times New Roman"/>
                  <w:bCs/>
                  <w:sz w:val="24"/>
                  <w:szCs w:val="24"/>
                  <w:u w:val="single"/>
                </w:rPr>
                <w:t>http://draudejai.sodra.lt/draudeju_viesi_duomenys/</w:t>
              </w:r>
            </w:hyperlink>
            <w:r>
              <w:rPr>
                <w:rFonts w:cs="Times New Roman" w:ascii="Times New Roman" w:hAnsi="Times New Roman"/>
                <w:bCs/>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bookmarkStart w:id="52" w:name="_Hlk90887843"/>
            <w:bookmarkStart w:id="53" w:name="_Hlk90887843"/>
            <w:bookmarkEnd w:id="53"/>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b/>
                <w:bCs/>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9">
              <w:r>
                <w:rPr>
                  <w:rStyle w:val="Hyperlink"/>
                  <w:rFonts w:cs="Times New Roman" w:ascii="Times New Roman" w:hAnsi="Times New Roman"/>
                  <w:sz w:val="24"/>
                  <w:szCs w:val="24"/>
                </w:rPr>
                <w:t>https://vpt.lrv.lt/lt/nuorodos/kiti-duomenys/powerbi/melaginga-informacija-pateikusiu-tiekeju-sarasas-3/</w:t>
              </w:r>
            </w:hyperlink>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0">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54" w:name="part_030e6c6c64ba4f96a23474e439d1b80c"/>
            <w:bookmarkEnd w:id="54"/>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b/>
                <w:sz w:val="24"/>
                <w:szCs w:val="24"/>
              </w:rPr>
            </w:pPr>
            <w:r>
              <w:rPr>
                <w:rFonts w:cs="Times New Roman" w:ascii="Times New Roman" w:hAnsi="Times New Roman"/>
                <w:b/>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2">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b/>
                <w:bCs/>
                <w:iCs/>
                <w:sz w:val="24"/>
                <w:szCs w:val="24"/>
              </w:rPr>
            </w:pPr>
            <w:r>
              <w:rPr>
                <w:rFonts w:cs="Times New Roman" w:ascii="Times New Roman" w:hAnsi="Times New Roman"/>
                <w:b/>
                <w:bCs/>
                <w:i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4">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rFonts w:ascii="Times New Roman" w:hAnsi="Times New Roman" w:cs="Times New Roman"/>
                <w:bCs/>
                <w:iCs/>
                <w:sz w:val="24"/>
                <w:szCs w:val="24"/>
                <w:lang w:eastAsia="en-US"/>
              </w:rPr>
            </w:pPr>
            <w:hyperlink r:id="rId15">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lang w:val="en-US"/>
        </w:rPr>
      </w:pPr>
      <w:r>
        <w:rPr>
          <w:rFonts w:cs="Times New Roman" w:ascii="Times New Roman" w:hAnsi="Times New Roman"/>
          <w:sz w:val="24"/>
          <w:szCs w:val="24"/>
          <w:lang w:val="en-US"/>
        </w:rPr>
        <w:t>Taikomi visoms pirkimo dalims</w:t>
      </w:r>
    </w:p>
    <w:p>
      <w:pPr>
        <w:pStyle w:val="Normal"/>
        <w:jc w:val="center"/>
        <w:rPr>
          <w:rFonts w:ascii="Times New Roman" w:hAnsi="Times New Roman" w:cs="Times New Roman"/>
          <w:b/>
          <w:bCs/>
          <w:smallCaps/>
          <w:sz w:val="24"/>
          <w:szCs w:val="24"/>
        </w:rPr>
      </w:pPr>
      <w:r>
        <w:rPr>
          <w:rFonts w:cs="Times New Roman" w:ascii="Times New Roman" w:hAnsi="Times New Roman"/>
          <w:smallCaps/>
          <w:sz w:val="24"/>
          <w:szCs w:val="24"/>
        </w:rPr>
        <w:t>__________</w:t>
      </w:r>
      <w:r>
        <w:br w:type="page"/>
      </w:r>
    </w:p>
    <w:p>
      <w:pPr>
        <w:pStyle w:val="Heading2"/>
        <w:spacing w:before="0" w:after="0"/>
        <w:ind w:left="5103"/>
        <w:rPr>
          <w:rFonts w:ascii="Times New Roman" w:hAnsi="Times New Roman" w:eastAsia="Calibri" w:cs="Times New Roman"/>
          <w:color w:val="auto"/>
          <w:sz w:val="24"/>
          <w:szCs w:val="24"/>
        </w:rPr>
      </w:pPr>
      <w:bookmarkStart w:id="55" w:name="_Ref38291223"/>
      <w:bookmarkStart w:id="56" w:name="_Ref38291334"/>
      <w:bookmarkStart w:id="57" w:name="_Ref38533412"/>
      <w:bookmarkStart w:id="58" w:name="_Toc213187625"/>
      <w:r>
        <w:rPr>
          <w:rFonts w:eastAsia="Calibri" w:cs="Times New Roman" w:ascii="Times New Roman" w:hAnsi="Times New Roman"/>
          <w:color w:val="auto"/>
          <w:sz w:val="24"/>
          <w:szCs w:val="24"/>
        </w:rPr>
        <w:t>Pirkimo sąlygų 4 priedas „Tiekėjų kvalifikacijos reikalavimai ir reikalaujami kokybės bei aplinkos apsaugos vadybos sistemų standartai“</w:t>
      </w:r>
      <w:bookmarkEnd w:id="55"/>
      <w:bookmarkEnd w:id="56"/>
      <w:bookmarkEnd w:id="57"/>
      <w:bookmarkEnd w:id="58"/>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Normal"/>
        <w:suppressAutoHyphens w:val="true"/>
        <w:jc w:val="center"/>
        <w:rPr>
          <w:rFonts w:ascii="Times New Roman" w:hAnsi="Times New Roman"/>
          <w:sz w:val="24"/>
          <w:szCs w:val="24"/>
        </w:rPr>
      </w:pPr>
      <w:r>
        <w:rPr>
          <w:rFonts w:eastAsia="Calibri" w:ascii="Times New Roman" w:hAnsi="Times New Roman"/>
          <w:b/>
          <w:smallCaps/>
          <w:kern w:val="0"/>
          <w:sz w:val="24"/>
          <w:szCs w:val="24"/>
          <w:lang w:eastAsia="lt-LT"/>
          <w14:ligatures w14:val="none"/>
        </w:rPr>
        <w:t xml:space="preserve">TIEKĖJŲ KVALIFIKACIJOS REIKALAVIMAI IR REIKALAVIMAI LAIKYTIS </w:t>
      </w:r>
      <w:r>
        <w:rPr>
          <w:rFonts w:eastAsia="Calibri" w:ascii="Times New Roman" w:hAnsi="Times New Roman"/>
          <w:b/>
          <w:caps/>
          <w:kern w:val="0"/>
          <w:sz w:val="24"/>
          <w:szCs w:val="24"/>
          <w14:ligatures w14:val="none"/>
        </w:rPr>
        <w:t>KOKYBĖS VADYBOS SISTEMOS IR (ARBA) APLINKOS APSAUGOS VADYBOS SISTEMOS STANDARTŲ</w:t>
      </w:r>
    </w:p>
    <w:p>
      <w:pPr>
        <w:pStyle w:val="Normal"/>
        <w:suppressAutoHyphens w:val="true"/>
        <w:jc w:val="center"/>
        <w:rPr>
          <w:rFonts w:ascii="Times New Roman" w:hAnsi="Times New Roman" w:eastAsia="Calibri"/>
          <w:b/>
          <w:caps/>
          <w:kern w:val="0"/>
          <w:sz w:val="24"/>
          <w:szCs w:val="24"/>
          <w14:ligatures w14:val="none"/>
        </w:rPr>
      </w:pPr>
      <w:r>
        <w:rPr>
          <w:rFonts w:eastAsia="Calibri" w:ascii="Times New Roman" w:hAnsi="Times New Roman"/>
          <w:b/>
          <w:caps/>
          <w:kern w:val="0"/>
          <w:sz w:val="24"/>
          <w:szCs w:val="24"/>
          <w14:ligatures w14:val="none"/>
        </w:rPr>
      </w:r>
    </w:p>
    <w:p>
      <w:pPr>
        <w:pStyle w:val="Normal"/>
        <w:numPr>
          <w:ilvl w:val="0"/>
          <w:numId w:val="0"/>
        </w:numPr>
        <w:tabs>
          <w:tab w:val="clear" w:pos="1296"/>
          <w:tab w:val="left" w:pos="851" w:leader="none"/>
        </w:tabs>
        <w:suppressAutoHyphens w:val="true"/>
        <w:spacing w:before="0" w:after="0"/>
        <w:ind w:hanging="0" w:left="0"/>
        <w:contextualSpacing/>
        <w:jc w:val="both"/>
        <w:rPr>
          <w:rFonts w:ascii="Times New Roman" w:hAnsi="Times New Roman"/>
          <w:i/>
          <w:i/>
          <w:iCs/>
          <w:sz w:val="24"/>
          <w:szCs w:val="24"/>
          <w:lang w:val="en-GB"/>
        </w:rPr>
      </w:pPr>
      <w:r>
        <w:rPr>
          <w:rFonts w:ascii="Times New Roman" w:hAnsi="Times New Roman"/>
          <w:i/>
          <w:iCs/>
          <w:sz w:val="24"/>
          <w:szCs w:val="24"/>
          <w:lang w:val="lt-LT"/>
        </w:rPr>
        <w:t>K</w:t>
      </w:r>
      <w:r>
        <w:rPr>
          <w:rFonts w:ascii="Times New Roman" w:hAnsi="Times New Roman"/>
          <w:i/>
          <w:iCs/>
          <w:sz w:val="24"/>
          <w:szCs w:val="24"/>
          <w:lang w:val="en-GB"/>
        </w:rPr>
        <w:t>valifikaciniai reikalavimai pridedami atski</w:t>
      </w:r>
      <w:r>
        <w:rPr>
          <w:rFonts w:ascii="Times New Roman" w:hAnsi="Times New Roman"/>
          <w:i/>
          <w:iCs/>
          <w:sz w:val="24"/>
          <w:szCs w:val="24"/>
          <w:lang w:val="lt-LT"/>
        </w:rPr>
        <w:t>rame</w:t>
      </w:r>
      <w:r>
        <w:rPr>
          <w:rFonts w:ascii="Times New Roman" w:hAnsi="Times New Roman"/>
          <w:i/>
          <w:iCs/>
          <w:sz w:val="24"/>
          <w:szCs w:val="24"/>
          <w:lang w:val="en-GB"/>
        </w:rPr>
        <w:t xml:space="preserve"> </w:t>
      </w:r>
      <w:r>
        <w:rPr>
          <w:rFonts w:ascii="Times New Roman" w:hAnsi="Times New Roman"/>
          <w:i/>
          <w:iCs/>
          <w:sz w:val="24"/>
          <w:szCs w:val="24"/>
          <w:lang w:val="lt-LT"/>
        </w:rPr>
        <w:t>dokumente</w:t>
      </w:r>
      <w:r>
        <w:rPr>
          <w:rFonts w:ascii="Times New Roman" w:hAnsi="Times New Roman"/>
          <w:i/>
          <w:iCs/>
          <w:sz w:val="24"/>
          <w:szCs w:val="24"/>
          <w:lang w:val="en-GB"/>
        </w:rPr>
        <w:t>.</w:t>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2"/>
        <w:ind w:left="5103"/>
        <w:rPr>
          <w:rFonts w:ascii="Times New Roman" w:hAnsi="Times New Roman" w:cs="Times New Roman"/>
          <w:color w:val="auto"/>
          <w:sz w:val="24"/>
          <w:szCs w:val="24"/>
        </w:rPr>
      </w:pPr>
      <w:bookmarkStart w:id="59" w:name="_Ref38291379"/>
      <w:bookmarkStart w:id="60" w:name="_Ref38291394"/>
      <w:bookmarkStart w:id="61" w:name="_Ref38898251"/>
      <w:bookmarkStart w:id="62" w:name="_Toc213187626"/>
      <w:r>
        <w:rPr>
          <w:rFonts w:eastAsia="Calibri" w:cs="Times New Roman" w:ascii="Times New Roman" w:hAnsi="Times New Roman"/>
          <w:color w:val="auto"/>
          <w:sz w:val="24"/>
          <w:szCs w:val="24"/>
        </w:rPr>
        <w:t xml:space="preserve">Pirkimo sąlygų 5 priedas „EBVPD“ </w:t>
      </w:r>
      <w:r>
        <w:rPr>
          <w:rFonts w:cs="Times New Roman" w:ascii="Times New Roman" w:hAnsi="Times New Roman"/>
          <w:color w:val="auto"/>
          <w:sz w:val="24"/>
          <w:szCs w:val="24"/>
        </w:rPr>
        <w:t>(XML formatu)</w:t>
      </w:r>
      <w:bookmarkEnd w:id="59"/>
      <w:bookmarkEnd w:id="60"/>
      <w:bookmarkEnd w:id="61"/>
      <w:bookmarkEnd w:id="62"/>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b/>
          <w:bCs/>
          <w:smallCaps/>
          <w:color w:val="auto"/>
          <w:sz w:val="24"/>
          <w:szCs w:val="24"/>
        </w:rPr>
      </w:pPr>
      <w:r>
        <w:rPr>
          <w:rFonts w:cs="Times New Roman" w:ascii="Times New Roman" w:hAnsi="Times New Roman"/>
          <w:color w:val="auto"/>
          <w:sz w:val="24"/>
          <w:szCs w:val="24"/>
        </w:rPr>
        <w:t>EUROPOS BENDRASIS VIEŠŲJŲ PIRKIMŲ DOKUMENTAS</w:t>
      </w:r>
    </w:p>
    <w:p>
      <w:pPr>
        <w:pStyle w:val="Normal"/>
        <w:jc w:val="both"/>
        <w:rPr>
          <w:i/>
          <w:i/>
          <w:iCs/>
        </w:rPr>
      </w:pPr>
      <w:r>
        <w:rPr>
          <w:rFonts w:cs="Times New Roman" w:ascii="Times New Roman" w:hAnsi="Times New Roman"/>
          <w:i/>
          <w:iCs/>
          <w:sz w:val="24"/>
          <w:szCs w:val="24"/>
        </w:rPr>
        <w:t>„</w:t>
      </w:r>
      <w:r>
        <w:rPr>
          <w:rFonts w:cs="Times New Roman" w:ascii="Times New Roman" w:hAnsi="Times New Roman"/>
          <w:i/>
          <w:iCs/>
          <w:sz w:val="24"/>
          <w:szCs w:val="24"/>
        </w:rPr>
        <w:t xml:space="preserve">Europos bendrasis viešųjų pirkimų dokumentas (EBVPD)“ pateikiamas .xml formatu </w:t>
      </w:r>
      <w:r>
        <w:rPr>
          <w:rFonts w:cs="Times New Roman" w:ascii="Times New Roman" w:hAnsi="Times New Roman"/>
          <w:i/>
          <w:iCs/>
          <w:sz w:val="24"/>
          <w:szCs w:val="24"/>
          <w:lang w:val="en-US"/>
        </w:rPr>
        <w:t>atskirame dokumente</w:t>
      </w:r>
      <w:r>
        <w:rPr>
          <w:rFonts w:cs="Times New Roman" w:ascii="Times New Roman" w:hAnsi="Times New Roman"/>
          <w:i/>
          <w:iCs/>
          <w:sz w:val="24"/>
          <w:szCs w:val="24"/>
        </w:rPr>
        <w:t>.</w:t>
      </w:r>
    </w:p>
    <w:p>
      <w:pPr>
        <w:pStyle w:val="Normal"/>
        <w:jc w:val="center"/>
        <w:rPr>
          <w:rFonts w:ascii="Times New Roman" w:hAnsi="Times New Roman" w:cs="Times New Roman"/>
          <w:smallCaps/>
          <w:sz w:val="24"/>
          <w:szCs w:val="24"/>
        </w:rPr>
      </w:pPr>
      <w:r>
        <w:rPr>
          <w:rFonts w:cs="Times New Roman" w:ascii="Times New Roman" w:hAnsi="Times New Roman"/>
          <w:smallCaps/>
          <w:sz w:val="24"/>
          <w:szCs w:val="24"/>
        </w:rPr>
        <w:t>__________</w:t>
      </w:r>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r>
        <w:br w:type="page"/>
      </w:r>
    </w:p>
    <w:p>
      <w:pPr>
        <w:pStyle w:val="ListParagraph"/>
        <w:widowControl w:val="false"/>
        <w:numPr>
          <w:ilvl w:val="0"/>
          <w:numId w:val="0"/>
        </w:numPr>
        <w:shd w:val="clear" w:color="auto" w:fill="FFFFFF"/>
        <w:tabs>
          <w:tab w:val="clear" w:pos="1296"/>
          <w:tab w:val="left" w:pos="360" w:leader="none"/>
        </w:tabs>
        <w:spacing w:lineRule="auto" w:line="240" w:before="0" w:after="0"/>
        <w:ind w:hanging="0" w:left="709"/>
        <w:contextualSpacing/>
        <w:jc w:val="right"/>
        <w:rPr>
          <w:rFonts w:ascii="Times New Roman" w:hAnsi="Times New Roman"/>
          <w:sz w:val="24"/>
          <w:szCs w:val="24"/>
          <w:lang w:val="en-GB"/>
        </w:rPr>
      </w:pPr>
      <w:r>
        <w:rPr>
          <w:rFonts w:ascii="Times New Roman" w:hAnsi="Times New Roman"/>
          <w:sz w:val="24"/>
          <w:szCs w:val="24"/>
          <w:lang w:val="en-GB"/>
        </w:rPr>
        <w:t>Pirkimo s</w:t>
      </w:r>
      <w:r>
        <w:rPr>
          <w:rFonts w:ascii="Times New Roman" w:hAnsi="Times New Roman"/>
          <w:sz w:val="24"/>
          <w:szCs w:val="24"/>
          <w:lang w:val="lt-LT"/>
        </w:rPr>
        <w:t>ąlygų 6 priedas „Pasiūlymo forma“</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720" w:leader="none"/>
        </w:tabs>
        <w:spacing w:lineRule="auto" w:line="240" w:before="0" w:after="0"/>
        <w:contextualSpacing/>
        <w:jc w:val="both"/>
        <w:rPr>
          <w:rFonts w:ascii="Times New Roman" w:hAnsi="Times New Roman" w:cs="Times New Roman"/>
          <w:i/>
          <w:i/>
          <w:iCs/>
          <w:sz w:val="24"/>
          <w:szCs w:val="24"/>
        </w:rPr>
      </w:pPr>
      <w:r>
        <w:rPr>
          <w:rFonts w:cs="Times New Roman" w:ascii="Times New Roman" w:hAnsi="Times New Roman"/>
          <w:i/>
          <w:iCs/>
          <w:sz w:val="24"/>
          <w:szCs w:val="24"/>
        </w:rPr>
        <w:t>Pasiūlymo forma pridedamu atskirame dokumente.</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63" w:name="_Toc213187628"/>
      <w:r>
        <w:rPr>
          <w:rFonts w:eastAsia="Calibri" w:cs="Times New Roman" w:ascii="Times New Roman" w:hAnsi="Times New Roman"/>
          <w:color w:val="auto"/>
          <w:sz w:val="24"/>
          <w:szCs w:val="24"/>
        </w:rPr>
        <w:t>Pirkimo sąlygų 7 priedas „Pasiūlymų vertinimo kriterijai ir sąlygos“</w:t>
      </w:r>
      <w:bookmarkEnd w:id="63"/>
    </w:p>
    <w:p>
      <w:pPr>
        <w:pStyle w:val="Normal"/>
        <w:jc w:val="center"/>
        <w:rPr>
          <w:rFonts w:ascii="Times New Roman" w:hAnsi="Times New Roman" w:cs="Times New Roman"/>
          <w:b/>
          <w:sz w:val="24"/>
          <w:szCs w:val="24"/>
        </w:rPr>
      </w:pPr>
      <w:r>
        <w:rPr>
          <w:rFonts w:cs="Times New Roman" w:ascii="Times New Roman" w:hAnsi="Times New Roman"/>
          <w:b/>
          <w:sz w:val="24"/>
          <w:szCs w:val="24"/>
        </w:rPr>
      </w:r>
    </w:p>
    <w:p>
      <w:pPr>
        <w:pStyle w:val="Subtitle"/>
        <w:spacing w:lineRule="auto" w:line="240" w:before="0" w:after="0"/>
        <w:jc w:val="center"/>
        <w:rPr>
          <w:shd w:fill="FFFFFF" w:val="clear"/>
        </w:rPr>
      </w:pPr>
      <w:r>
        <w:rPr>
          <w:rFonts w:cs="Times New Roman" w:ascii="Times New Roman" w:hAnsi="Times New Roman"/>
          <w:b/>
          <w:color w:val="000000"/>
          <w:spacing w:val="0"/>
          <w:sz w:val="24"/>
          <w:szCs w:val="24"/>
          <w:shd w:fill="FFFFFF" w:val="clear"/>
        </w:rPr>
        <w:t>PASIŪLYMŲ VERTINIMO KRITERIJAI ir Sąlygos</w:t>
      </w:r>
    </w:p>
    <w:p>
      <w:pPr>
        <w:pStyle w:val="Normal"/>
        <w:widowControl w:val="false"/>
        <w:shd w:val="clear" w:color="auto" w:fill="FFFFFF"/>
        <w:spacing w:lineRule="auto" w:line="240" w:before="235" w:after="0"/>
        <w:jc w:val="center"/>
        <w:rPr>
          <w:shd w:fill="FFFFFF" w:val="clear"/>
        </w:rPr>
      </w:pPr>
      <w:r>
        <w:rPr>
          <w:shd w:fill="FFFFFF" w:val="clear"/>
        </w:rPr>
      </w:r>
    </w:p>
    <w:p>
      <w:pPr>
        <w:pStyle w:val="Normal"/>
        <w:jc w:val="both"/>
        <w:rPr>
          <w:rFonts w:ascii="Times New Roman" w:hAnsi="Times New Roman" w:eastAsia="Calibri" w:cs="Times New Roman"/>
          <w:i/>
          <w:i/>
          <w:iCs/>
          <w:sz w:val="24"/>
          <w:szCs w:val="24"/>
        </w:rPr>
      </w:pPr>
      <w:r>
        <w:rPr>
          <w:rFonts w:eastAsia="Calibri" w:cs="Times New Roman" w:ascii="Times New Roman" w:hAnsi="Times New Roman"/>
          <w:i/>
          <w:iCs/>
          <w:sz w:val="24"/>
          <w:szCs w:val="24"/>
        </w:rPr>
      </w:r>
    </w:p>
    <w:p>
      <w:pPr>
        <w:pStyle w:val="Normal"/>
        <w:tabs>
          <w:tab w:val="clear" w:pos="1296"/>
          <w:tab w:val="left" w:pos="2977" w:leader="none"/>
        </w:tabs>
        <w:spacing w:lineRule="atLeast" w:line="20" w:before="0" w:after="120"/>
        <w:rPr>
          <w:rFonts w:ascii="Times New Roman" w:hAnsi="Times New Roman"/>
          <w:lang w:val="en-US"/>
        </w:rPr>
      </w:pPr>
      <w:r>
        <w:rPr>
          <w:rFonts w:ascii="Times New Roman" w:hAnsi="Times New Roman"/>
          <w:lang w:val="lt-LT"/>
        </w:rPr>
        <w:t xml:space="preserve">1. </w:t>
      </w:r>
      <w:r>
        <w:rPr>
          <w:rFonts w:ascii="Times New Roman" w:hAnsi="Times New Roman"/>
          <w:lang w:val="en-US"/>
        </w:rPr>
        <w:t>Pasi</w:t>
      </w:r>
      <w:r>
        <w:rPr>
          <w:rFonts w:ascii="Times New Roman" w:hAnsi="Times New Roman"/>
          <w:lang w:val="lt-LT"/>
        </w:rPr>
        <w:t>ūlymai yra vertinami pagal mažiausios kainos kriterijų.</w:t>
      </w:r>
    </w:p>
    <w:p>
      <w:pPr>
        <w:pStyle w:val="Normal"/>
        <w:tabs>
          <w:tab w:val="clear" w:pos="1296"/>
          <w:tab w:val="left" w:pos="2977" w:leader="none"/>
        </w:tabs>
        <w:spacing w:lineRule="atLeast" w:line="20" w:before="0" w:after="120"/>
        <w:rPr>
          <w:rFonts w:ascii="Times New Roman" w:hAnsi="Times New Roman"/>
          <w:lang w:val="en-US"/>
        </w:rPr>
      </w:pPr>
      <w:r>
        <w:rPr>
          <w:rFonts w:ascii="Times New Roman" w:hAnsi="Times New Roman"/>
          <w:lang w:val="lt-LT"/>
        </w:rPr>
        <w:t xml:space="preserve">2. Vienos pirkimo dalies pasiūlymo kaina negali viršyti: </w:t>
      </w:r>
      <w:r>
        <w:rPr>
          <w:rFonts w:ascii="Times New Roman" w:hAnsi="Times New Roman"/>
          <w:lang w:val="lt-LT"/>
        </w:rPr>
        <w:t xml:space="preserve">II, IV  ir V dalims po </w:t>
      </w:r>
      <w:r>
        <w:rPr>
          <w:rFonts w:ascii="Times New Roman" w:hAnsi="Times New Roman"/>
          <w:lang w:val="lt-LT"/>
        </w:rPr>
        <w:t xml:space="preserve">8 264,46 euro be PVM, </w:t>
      </w:r>
      <w:r>
        <w:rPr>
          <w:rFonts w:ascii="Times New Roman" w:hAnsi="Times New Roman"/>
          <w:lang w:val="lt-LT"/>
        </w:rPr>
        <w:t>I ir III dalims 16 528,92 euro be PVM.</w:t>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p>
    <w:p>
      <w:pPr>
        <w:pStyle w:val="Normal"/>
        <w:tabs>
          <w:tab w:val="clear" w:pos="1296"/>
          <w:tab w:val="left" w:pos="2977" w:leader="none"/>
        </w:tabs>
        <w:spacing w:lineRule="atLeast" w:line="20" w:before="0" w:after="120"/>
        <w:rPr>
          <w:lang w:val="lt-LT"/>
        </w:rPr>
      </w:pPr>
      <w:r>
        <w:rPr>
          <w:lang w:val="lt-LT"/>
        </w:rPr>
      </w:r>
      <w:r>
        <w:br w:type="page"/>
      </w:r>
    </w:p>
    <w:p>
      <w:pPr>
        <w:pStyle w:val="Heading2"/>
        <w:spacing w:before="0" w:after="0"/>
        <w:ind w:left="5103"/>
        <w:rPr>
          <w:rFonts w:ascii="Times New Roman" w:hAnsi="Times New Roman" w:eastAsia="Calibri" w:cs="Times New Roman"/>
          <w:color w:val="auto"/>
          <w:sz w:val="24"/>
          <w:szCs w:val="24"/>
        </w:rPr>
      </w:pPr>
      <w:bookmarkStart w:id="64" w:name="_Toc213187628_Copy_1"/>
      <w:r>
        <w:rPr>
          <w:rFonts w:eastAsia="Calibri" w:cs="Times New Roman" w:ascii="Times New Roman" w:hAnsi="Times New Roman"/>
          <w:color w:val="auto"/>
          <w:sz w:val="24"/>
          <w:szCs w:val="24"/>
          <w:lang w:val="lt-LT"/>
        </w:rPr>
        <w:t>Pirkimo sąlygų 8 priedas „Sutarties projektas“</w:t>
      </w:r>
      <w:bookmarkEnd w:id="64"/>
    </w:p>
    <w:p>
      <w:pPr>
        <w:pStyle w:val="Normal"/>
        <w:spacing w:before="0" w:after="0"/>
        <w:ind w:left="5103"/>
        <w:rPr>
          <w:rFonts w:ascii="Times New Roman" w:hAnsi="Times New Roman" w:eastAsia="Calibri" w:cs="Times New Roman"/>
          <w:color w:val="auto"/>
          <w:sz w:val="24"/>
          <w:szCs w:val="24"/>
        </w:rPr>
      </w:pPr>
      <w:r>
        <w:rPr>
          <w:rFonts w:eastAsia="Calibri" w:cs="Times New Roman" w:ascii="Times New Roman" w:hAnsi="Times New Roman"/>
          <w:color w:val="auto"/>
          <w:sz w:val="24"/>
          <w:szCs w:val="24"/>
        </w:rPr>
      </w:r>
    </w:p>
    <w:p>
      <w:pPr>
        <w:pStyle w:val="Normal"/>
        <w:widowControl/>
        <w:suppressAutoHyphens w:val="true"/>
        <w:bidi w:val="0"/>
        <w:spacing w:lineRule="auto" w:line="276" w:before="0" w:after="0"/>
        <w:ind w:hanging="0" w:left="89" w:right="0"/>
        <w:jc w:val="left"/>
        <w:rPr>
          <w:i/>
          <w:i/>
          <w:iCs/>
        </w:rPr>
      </w:pPr>
      <w:r>
        <w:rPr>
          <w:rFonts w:eastAsia="Calibri" w:cs="Times New Roman" w:ascii="Times New Roman" w:hAnsi="Times New Roman"/>
          <w:i/>
          <w:iCs/>
          <w:color w:val="auto"/>
          <w:sz w:val="24"/>
          <w:szCs w:val="24"/>
          <w:lang w:val="lt-LT"/>
        </w:rPr>
        <w:t>Pateikiamas atskirame dokumente</w:t>
      </w:r>
    </w:p>
    <w:sectPr>
      <w:headerReference w:type="default" r:id="rId16"/>
      <w:headerReference w:type="first" r:id="rId17"/>
      <w:footerReference w:type="default" r:id="rId18"/>
      <w:footerReference w:type="first" r:id="rId19"/>
      <w:footnotePr>
        <w:numFmt w:val="decimal"/>
      </w:footnotePr>
      <w:type w:val="nextPage"/>
      <w:pgSz w:w="12240" w:h="15840"/>
      <w:pgMar w:left="1701" w:right="567" w:gutter="0" w:header="720" w:top="1134" w:footer="720" w:bottom="1134"/>
      <w:pgNumType w:start="22"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Consolas">
    <w:charset w:val="00"/>
    <w:family w:val="roman"/>
    <w:pitch w:val="variable"/>
  </w:font>
  <w:font w:name="Helvetica Neue Medium">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4</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91906774"/>
    </w:sdtPr>
    <w:sdtContent>
      <w:p>
        <w:pPr>
          <w:pStyle w:val="Footer"/>
          <w:jc w:val="right"/>
          <w:rPr/>
        </w:pPr>
        <w:r>
          <w:rPr/>
          <w:fldChar w:fldCharType="begin"/>
        </w:r>
        <w:r>
          <w:rPr/>
          <w:instrText xml:space="preserve"> PAGE </w:instrText>
        </w:r>
        <w:r>
          <w:rPr/>
          <w:fldChar w:fldCharType="separate"/>
        </w:r>
        <w:r>
          <w:rPr/>
          <w:t>43</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i/>
          <w:iCs/>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2"/>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2"/>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3"/>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3"/>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szCs w:val="24"/>
        <w:bCs w:val="false"/>
        <w:rFonts w:ascii="Times New Roman" w:hAnsi="Times New Roman"/>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3"/>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280" w:hanging="720"/>
      </w:pPr>
      <w:rPr>
        <w:i w:val="false"/>
        <w:b w:val="false"/>
        <w:iCs/>
        <w:bCs w:val="false"/>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sz w:val="24"/>
        <w:b/>
        <w:szCs w:val="24"/>
        <w:bCs/>
        <w:rFonts w:ascii="Times New Roman" w:hAnsi="Times New Roman"/>
      </w:rPr>
    </w:lvl>
    <w:lvl w:ilvl="1">
      <w:start w:val="1"/>
      <w:numFmt w:val="decimal"/>
      <w:lvlText w:val="%1.%2."/>
      <w:lvlJc w:val="left"/>
      <w:pPr>
        <w:tabs>
          <w:tab w:val="num" w:pos="0"/>
        </w:tabs>
        <w:ind w:left="1295"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7">
    <w:lvl w:ilvl="0">
      <w:start w:val="9"/>
      <w:numFmt w:val="decimal"/>
      <w:lvlText w:val="%1."/>
      <w:lvlJc w:val="left"/>
      <w:pPr>
        <w:tabs>
          <w:tab w:val="num" w:pos="0"/>
        </w:tabs>
        <w:ind w:left="360" w:hanging="360"/>
      </w:pPr>
      <w:rPr>
        <w:sz w:val="24"/>
        <w:i w:val="false"/>
        <w:szCs w:val="24"/>
        <w:rFonts w:ascii="Times New Roman" w:hAnsi="Times New Roman" w:eastAsia="" w:eastAsiaTheme="minorEastAsia"/>
        <w:color w:val="auto"/>
      </w:rPr>
    </w:lvl>
    <w:lvl w:ilvl="1">
      <w:start w:val="3"/>
      <w:numFmt w:val="decimal"/>
      <w:lvlText w:val="%1.%2."/>
      <w:lvlJc w:val="left"/>
      <w:pPr>
        <w:tabs>
          <w:tab w:val="num" w:pos="0"/>
        </w:tabs>
        <w:ind w:left="786" w:hanging="360"/>
      </w:pPr>
      <w:rPr>
        <w:i w:val="false"/>
        <w:rFonts w:eastAsia="" w:eastAsiaTheme="minorEastAsia"/>
        <w:color w:val="auto"/>
      </w:rPr>
    </w:lvl>
    <w:lvl w:ilvl="2">
      <w:start w:val="1"/>
      <w:numFmt w:val="decimal"/>
      <w:lvlText w:val="%1.%2.%3."/>
      <w:lvlJc w:val="left"/>
      <w:pPr>
        <w:tabs>
          <w:tab w:val="num" w:pos="0"/>
        </w:tabs>
        <w:ind w:left="1572" w:hanging="720"/>
      </w:pPr>
      <w:rPr>
        <w:i w:val="false"/>
        <w:rFonts w:eastAsia="" w:eastAsiaTheme="minorEastAsia"/>
        <w:color w:val="auto"/>
      </w:rPr>
    </w:lvl>
    <w:lvl w:ilvl="3">
      <w:start w:val="1"/>
      <w:numFmt w:val="decimal"/>
      <w:lvlText w:val="%1.%2.%3.%4."/>
      <w:lvlJc w:val="left"/>
      <w:pPr>
        <w:tabs>
          <w:tab w:val="num" w:pos="0"/>
        </w:tabs>
        <w:ind w:left="1998" w:hanging="720"/>
      </w:pPr>
      <w:rPr>
        <w:i w:val="false"/>
        <w:rFonts w:eastAsia="" w:eastAsiaTheme="minorEastAsia"/>
        <w:color w:val="auto"/>
      </w:rPr>
    </w:lvl>
    <w:lvl w:ilvl="4">
      <w:start w:val="1"/>
      <w:numFmt w:val="decimal"/>
      <w:lvlText w:val="%1.%2.%3.%4.%5."/>
      <w:lvlJc w:val="left"/>
      <w:pPr>
        <w:tabs>
          <w:tab w:val="num" w:pos="0"/>
        </w:tabs>
        <w:ind w:left="2784" w:hanging="1080"/>
      </w:pPr>
      <w:rPr>
        <w:i w:val="false"/>
        <w:rFonts w:eastAsia="" w:eastAsiaTheme="minorEastAsia"/>
        <w:color w:val="auto"/>
      </w:rPr>
    </w:lvl>
    <w:lvl w:ilvl="5">
      <w:start w:val="1"/>
      <w:numFmt w:val="decimal"/>
      <w:lvlText w:val="%1.%2.%3.%4.%5.%6."/>
      <w:lvlJc w:val="left"/>
      <w:pPr>
        <w:tabs>
          <w:tab w:val="num" w:pos="0"/>
        </w:tabs>
        <w:ind w:left="3210" w:hanging="1080"/>
      </w:pPr>
      <w:rPr>
        <w:i w:val="false"/>
        <w:rFonts w:eastAsia="" w:eastAsiaTheme="minorEastAsia"/>
        <w:color w:val="auto"/>
      </w:rPr>
    </w:lvl>
    <w:lvl w:ilvl="6">
      <w:start w:val="1"/>
      <w:numFmt w:val="decimal"/>
      <w:lvlText w:val="%1.%2.%3.%4.%5.%6.%7."/>
      <w:lvlJc w:val="left"/>
      <w:pPr>
        <w:tabs>
          <w:tab w:val="num" w:pos="0"/>
        </w:tabs>
        <w:ind w:left="3996" w:hanging="1440"/>
      </w:pPr>
      <w:rPr>
        <w:i w:val="false"/>
        <w:rFonts w:eastAsia="" w:eastAsiaTheme="minorEastAsia"/>
        <w:color w:val="auto"/>
      </w:rPr>
    </w:lvl>
    <w:lvl w:ilvl="7">
      <w:start w:val="1"/>
      <w:numFmt w:val="decimal"/>
      <w:lvlText w:val="%1.%2.%3.%4.%5.%6.%7.%8."/>
      <w:lvlJc w:val="left"/>
      <w:pPr>
        <w:tabs>
          <w:tab w:val="num" w:pos="0"/>
        </w:tabs>
        <w:ind w:left="4422" w:hanging="1440"/>
      </w:pPr>
      <w:rPr>
        <w:i w:val="false"/>
        <w:rFonts w:eastAsia="" w:eastAsiaTheme="minorEastAsia"/>
        <w:color w:val="auto"/>
      </w:rPr>
    </w:lvl>
    <w:lvl w:ilvl="8">
      <w:start w:val="1"/>
      <w:numFmt w:val="decimal"/>
      <w:lvlText w:val="%1.%2.%3.%4.%5.%6.%7.%8.%9."/>
      <w:lvlJc w:val="left"/>
      <w:pPr>
        <w:tabs>
          <w:tab w:val="num" w:pos="0"/>
        </w:tabs>
        <w:ind w:left="5208" w:hanging="1800"/>
      </w:pPr>
      <w:rPr>
        <w:i w:val="false"/>
        <w:rFonts w:eastAsia="" w:eastAsiaTheme="minorEastAsia"/>
        <w:color w:val="auto"/>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suff w:val="space"/>
      <w:lvlText w:val="%1."/>
      <w:lvlJc w:val="left"/>
      <w:pPr>
        <w:tabs>
          <w:tab w:val="num" w:pos="0"/>
        </w:tabs>
        <w:ind w:left="0" w:hanging="0"/>
      </w:pPr>
      <w:rPr>
        <w:sz w:val="24"/>
        <w:i w:val="false"/>
        <w:b w:val="false"/>
        <w:szCs w:val="24"/>
        <w:iCs/>
        <w:bCs w:val="false"/>
        <w:rFonts w:ascii="Times New Roman" w:hAnsi="Times New Roman" w:cs="Times New Roman"/>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2">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b w:val="false"/>
        <w:bCs w:val="false"/>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6">
    <w:lvl w:ilvl="0">
      <w:start w:val="2"/>
      <w:numFmt w:val="decimal"/>
      <w:lvlText w:val="%1."/>
      <w:lvlJc w:val="left"/>
      <w:pPr>
        <w:tabs>
          <w:tab w:val="num" w:pos="0"/>
        </w:tabs>
        <w:ind w:left="360" w:hanging="360"/>
      </w:pPr>
      <w:rPr>
        <w:rFonts w:eastAsia="Calibri"/>
        <w:color w:themeColor="text1" w:val="000000"/>
      </w:rPr>
    </w:lvl>
    <w:lvl w:ilvl="1">
      <w:start w:val="1"/>
      <w:numFmt w:val="decimal"/>
      <w:lvlText w:val="%1.%2."/>
      <w:lvlJc w:val="left"/>
      <w:pPr>
        <w:tabs>
          <w:tab w:val="num" w:pos="0"/>
        </w:tabs>
        <w:ind w:left="927" w:hanging="360"/>
      </w:pPr>
      <w:rPr>
        <w:rFonts w:eastAsia="Calibri"/>
        <w:color w:themeColor="text1" w:val="000000"/>
      </w:rPr>
    </w:lvl>
    <w:lvl w:ilvl="2">
      <w:start w:val="1"/>
      <w:numFmt w:val="decimal"/>
      <w:lvlText w:val="%1.%2.%3."/>
      <w:lvlJc w:val="left"/>
      <w:pPr>
        <w:tabs>
          <w:tab w:val="num" w:pos="0"/>
        </w:tabs>
        <w:ind w:left="1854" w:hanging="720"/>
      </w:pPr>
      <w:rPr>
        <w:rFonts w:eastAsia="Calibri"/>
        <w:color w:themeColor="text1" w:val="000000"/>
      </w:rPr>
    </w:lvl>
    <w:lvl w:ilvl="3">
      <w:start w:val="1"/>
      <w:numFmt w:val="decimal"/>
      <w:lvlText w:val="%1.%2.%3.%4."/>
      <w:lvlJc w:val="left"/>
      <w:pPr>
        <w:tabs>
          <w:tab w:val="num" w:pos="0"/>
        </w:tabs>
        <w:ind w:left="2421" w:hanging="720"/>
      </w:pPr>
      <w:rPr>
        <w:rFonts w:eastAsia="Calibri"/>
        <w:color w:themeColor="text1" w:val="000000"/>
      </w:rPr>
    </w:lvl>
    <w:lvl w:ilvl="4">
      <w:start w:val="1"/>
      <w:numFmt w:val="decimal"/>
      <w:lvlText w:val="%1.%2.%3.%4.%5."/>
      <w:lvlJc w:val="left"/>
      <w:pPr>
        <w:tabs>
          <w:tab w:val="num" w:pos="0"/>
        </w:tabs>
        <w:ind w:left="3348" w:hanging="1080"/>
      </w:pPr>
      <w:rPr>
        <w:rFonts w:eastAsia="Calibri"/>
        <w:color w:themeColor="text1" w:val="000000"/>
      </w:rPr>
    </w:lvl>
    <w:lvl w:ilvl="5">
      <w:start w:val="1"/>
      <w:numFmt w:val="decimal"/>
      <w:lvlText w:val="%1.%2.%3.%4.%5.%6."/>
      <w:lvlJc w:val="left"/>
      <w:pPr>
        <w:tabs>
          <w:tab w:val="num" w:pos="0"/>
        </w:tabs>
        <w:ind w:left="3915" w:hanging="1080"/>
      </w:pPr>
      <w:rPr>
        <w:rFonts w:eastAsia="Calibri"/>
        <w:color w:themeColor="text1" w:val="000000"/>
      </w:rPr>
    </w:lvl>
    <w:lvl w:ilvl="6">
      <w:start w:val="1"/>
      <w:numFmt w:val="decimal"/>
      <w:lvlText w:val="%1.%2.%3.%4.%5.%6.%7."/>
      <w:lvlJc w:val="left"/>
      <w:pPr>
        <w:tabs>
          <w:tab w:val="num" w:pos="0"/>
        </w:tabs>
        <w:ind w:left="4842" w:hanging="1440"/>
      </w:pPr>
      <w:rPr>
        <w:rFonts w:eastAsia="Calibri"/>
        <w:color w:themeColor="text1" w:val="000000"/>
      </w:rPr>
    </w:lvl>
    <w:lvl w:ilvl="7">
      <w:start w:val="1"/>
      <w:numFmt w:val="decimal"/>
      <w:lvlText w:val="%1.%2.%3.%4.%5.%6.%7.%8."/>
      <w:lvlJc w:val="left"/>
      <w:pPr>
        <w:tabs>
          <w:tab w:val="num" w:pos="0"/>
        </w:tabs>
        <w:ind w:left="5409" w:hanging="1440"/>
      </w:pPr>
      <w:rPr>
        <w:rFonts w:eastAsia="Calibri"/>
        <w:color w:themeColor="text1" w:val="000000"/>
      </w:rPr>
    </w:lvl>
    <w:lvl w:ilvl="8">
      <w:start w:val="1"/>
      <w:numFmt w:val="decimal"/>
      <w:lvlText w:val="%1.%2.%3.%4.%5.%6.%7.%8.%9."/>
      <w:lvlJc w:val="left"/>
      <w:pPr>
        <w:tabs>
          <w:tab w:val="num" w:pos="0"/>
        </w:tabs>
        <w:ind w:left="6336" w:hanging="1800"/>
      </w:pPr>
      <w:rPr>
        <w:rFonts w:eastAsia="Calibri"/>
        <w:color w:themeColor="text1" w:val="000000"/>
      </w:rPr>
    </w:lvl>
  </w:abstractNum>
  <w:abstractNum w:abstractNumId="17">
    <w:lvl w:ilvl="0">
      <w:start w:val="7"/>
      <w:numFmt w:val="decimal"/>
      <w:lvlText w:val="%1."/>
      <w:lvlJc w:val="left"/>
      <w:pPr>
        <w:tabs>
          <w:tab w:val="num" w:pos="0"/>
        </w:tabs>
        <w:ind w:left="510" w:hanging="510"/>
      </w:pPr>
      <w:rPr>
        <w:sz w:val="24"/>
        <w:szCs w:val="24"/>
        <w:rFonts w:ascii="Times New Roman" w:hAnsi="Times New Roman"/>
      </w:rPr>
    </w:lvl>
    <w:lvl w:ilvl="1">
      <w:start w:val="1"/>
      <w:numFmt w:val="decimal"/>
      <w:lvlText w:val="%1.%2."/>
      <w:lvlJc w:val="left"/>
      <w:pPr>
        <w:tabs>
          <w:tab w:val="num" w:pos="0"/>
        </w:tabs>
        <w:ind w:left="870" w:hanging="510"/>
      </w:pPr>
      <w:rPr/>
    </w:lvl>
    <w:lvl w:ilvl="2">
      <w:start w:val="1"/>
      <w:numFmt w:val="decimal"/>
      <w:lvlText w:val="%1.%2.%3."/>
      <w:lvlJc w:val="left"/>
      <w:pPr>
        <w:tabs>
          <w:tab w:val="num" w:pos="0"/>
        </w:tabs>
        <w:ind w:left="2989"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8">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9">
    <w:lvl w:ilvl="0">
      <w:start w:val="6"/>
      <w:numFmt w:val="decimal"/>
      <w:lvlText w:val="%1."/>
      <w:lvlJc w:val="left"/>
      <w:pPr>
        <w:tabs>
          <w:tab w:val="num" w:pos="0"/>
        </w:tabs>
        <w:ind w:left="360" w:hanging="360"/>
      </w:pPr>
      <w:rPr>
        <w:sz w:val="24"/>
        <w:szCs w:val="24"/>
        <w:rFonts w:ascii="Times New Roman" w:hAnsi="Times New Roman" w:eastAsia="Arial"/>
      </w:rPr>
    </w:lvl>
    <w:lvl w:ilvl="1">
      <w:start w:val="4"/>
      <w:numFmt w:val="decimal"/>
      <w:lvlText w:val="%1.%2."/>
      <w:lvlJc w:val="left"/>
      <w:pPr>
        <w:tabs>
          <w:tab w:val="num" w:pos="0"/>
        </w:tabs>
        <w:ind w:left="786" w:hanging="360"/>
      </w:pPr>
      <w:rPr>
        <w:rFonts w:eastAsia="Arial"/>
      </w:rPr>
    </w:lvl>
    <w:lvl w:ilvl="2">
      <w:start w:val="1"/>
      <w:numFmt w:val="decimal"/>
      <w:lvlText w:val="%1.%2.%3."/>
      <w:lvlJc w:val="left"/>
      <w:pPr>
        <w:tabs>
          <w:tab w:val="num" w:pos="0"/>
        </w:tabs>
        <w:ind w:left="1572" w:hanging="720"/>
      </w:pPr>
      <w:rPr>
        <w:rFonts w:eastAsia="Arial"/>
      </w:rPr>
    </w:lvl>
    <w:lvl w:ilvl="3">
      <w:start w:val="1"/>
      <w:numFmt w:val="decimal"/>
      <w:lvlText w:val="%1.%2.%3.%4."/>
      <w:lvlJc w:val="left"/>
      <w:pPr>
        <w:tabs>
          <w:tab w:val="num" w:pos="0"/>
        </w:tabs>
        <w:ind w:left="1998" w:hanging="720"/>
      </w:pPr>
      <w:rPr>
        <w:rFonts w:eastAsia="Arial"/>
      </w:rPr>
    </w:lvl>
    <w:lvl w:ilvl="4">
      <w:start w:val="1"/>
      <w:numFmt w:val="decimal"/>
      <w:lvlText w:val="%1.%2.%3.%4.%5."/>
      <w:lvlJc w:val="left"/>
      <w:pPr>
        <w:tabs>
          <w:tab w:val="num" w:pos="0"/>
        </w:tabs>
        <w:ind w:left="2784" w:hanging="1080"/>
      </w:pPr>
      <w:rPr>
        <w:rFonts w:eastAsia="Arial"/>
      </w:rPr>
    </w:lvl>
    <w:lvl w:ilvl="5">
      <w:start w:val="1"/>
      <w:numFmt w:val="decimal"/>
      <w:lvlText w:val="%1.%2.%3.%4.%5.%6."/>
      <w:lvlJc w:val="left"/>
      <w:pPr>
        <w:tabs>
          <w:tab w:val="num" w:pos="0"/>
        </w:tabs>
        <w:ind w:left="3210" w:hanging="1080"/>
      </w:pPr>
      <w:rPr>
        <w:rFonts w:eastAsia="Arial"/>
      </w:rPr>
    </w:lvl>
    <w:lvl w:ilvl="6">
      <w:start w:val="1"/>
      <w:numFmt w:val="decimal"/>
      <w:lvlText w:val="%1.%2.%3.%4.%5.%6.%7."/>
      <w:lvlJc w:val="left"/>
      <w:pPr>
        <w:tabs>
          <w:tab w:val="num" w:pos="0"/>
        </w:tabs>
        <w:ind w:left="3996" w:hanging="1440"/>
      </w:pPr>
      <w:rPr>
        <w:rFonts w:eastAsia="Arial"/>
      </w:rPr>
    </w:lvl>
    <w:lvl w:ilvl="7">
      <w:start w:val="1"/>
      <w:numFmt w:val="decimal"/>
      <w:lvlText w:val="%1.%2.%3.%4.%5.%6.%7.%8."/>
      <w:lvlJc w:val="left"/>
      <w:pPr>
        <w:tabs>
          <w:tab w:val="num" w:pos="0"/>
        </w:tabs>
        <w:ind w:left="4422" w:hanging="1440"/>
      </w:pPr>
      <w:rPr>
        <w:rFonts w:eastAsia="Arial"/>
      </w:rPr>
    </w:lvl>
    <w:lvl w:ilvl="8">
      <w:start w:val="1"/>
      <w:numFmt w:val="decimal"/>
      <w:lvlText w:val="%1.%2.%3.%4.%5.%6.%7.%8.%9."/>
      <w:lvlJc w:val="left"/>
      <w:pPr>
        <w:tabs>
          <w:tab w:val="num" w:pos="0"/>
        </w:tabs>
        <w:ind w:left="5208" w:hanging="1800"/>
      </w:pPr>
      <w:rPr>
        <w:rFonts w:eastAsia="Arial"/>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a0e2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99"/>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FootnoteCharacters" w:customStyle="1">
    <w:name w:val="Footnote Characters"/>
    <w:uiPriority w:val="99"/>
    <w:unhideWhenUsed/>
    <w:qFormat/>
    <w:rsid w:val="00d27e4c"/>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link w:val="Heading4"/>
    <w:uiPriority w:val="9"/>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customStyle="1">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UnresolvedMention1" w:customStyle="1">
    <w:name w:val="Unresolved Mention1"/>
    <w:basedOn w:val="DefaultParagraphFont"/>
    <w:uiPriority w:val="99"/>
    <w:semiHidden/>
    <w:unhideWhenUsed/>
    <w:qFormat/>
    <w:rsid w:val="004f660e"/>
    <w:rPr>
      <w:color w:val="808080"/>
      <w:shd w:fill="E6E6E6" w:val="clear"/>
    </w:rPr>
  </w:style>
  <w:style w:type="character" w:styleId="Normaltextrun" w:customStyle="1">
    <w:name w:val="normaltextrun"/>
    <w:basedOn w:val="DefaultParagraphFont"/>
    <w:qFormat/>
    <w:rsid w:val="004f660e"/>
    <w:rPr/>
  </w:style>
  <w:style w:type="character" w:styleId="Apple-converted-space" w:customStyle="1">
    <w:name w:val="apple-converted-space"/>
    <w:basedOn w:val="DefaultParagraphFont"/>
    <w:qFormat/>
    <w:rsid w:val="004f660e"/>
    <w:rPr/>
  </w:style>
  <w:style w:type="character" w:styleId="PlainTextChar" w:customStyle="1">
    <w:name w:val="Plain Text Char"/>
    <w:link w:val="PlainText"/>
    <w:semiHidden/>
    <w:qFormat/>
    <w:locked/>
    <w:rsid w:val="004f660e"/>
    <w:rPr>
      <w:rFonts w:ascii="Courier New" w:hAnsi="Courier New" w:cs="Courier New"/>
    </w:rPr>
  </w:style>
  <w:style w:type="character" w:styleId="PlainTextChar1" w:customStyle="1">
    <w:name w:val="Plain Text Char1"/>
    <w:basedOn w:val="DefaultParagraphFont"/>
    <w:uiPriority w:val="99"/>
    <w:semiHidden/>
    <w:qFormat/>
    <w:rsid w:val="004f660e"/>
    <w:rPr>
      <w:rFonts w:ascii="Consolas" w:hAnsi="Consolas"/>
    </w:rPr>
  </w:style>
  <w:style w:type="character" w:styleId="PaprastasistekstasDiagrama1" w:customStyle="1">
    <w:name w:val="Paprastasis tekstas Diagrama1"/>
    <w:basedOn w:val="DefaultParagraphFont"/>
    <w:uiPriority w:val="99"/>
    <w:semiHidden/>
    <w:qFormat/>
    <w:rsid w:val="004f660e"/>
    <w:rPr>
      <w:rFonts w:ascii="Consolas" w:hAnsi="Consolas"/>
      <w:sz w:val="21"/>
      <w:szCs w:val="21"/>
    </w:rPr>
  </w:style>
  <w:style w:type="character" w:styleId="Neapdorotaspaminjimas1" w:customStyle="1">
    <w:name w:val="Neapdorotas paminėjimas1"/>
    <w:basedOn w:val="DefaultParagraphFont"/>
    <w:uiPriority w:val="99"/>
    <w:semiHidden/>
    <w:unhideWhenUsed/>
    <w:qFormat/>
    <w:rsid w:val="004f660e"/>
    <w:rPr>
      <w:color w:val="605E5C"/>
      <w:shd w:fill="E1DFDD" w:val="clear"/>
    </w:rPr>
  </w:style>
  <w:style w:type="character" w:styleId="Neapdorotaspaminjimas2" w:customStyle="1">
    <w:name w:val="Neapdorotas paminėjimas2"/>
    <w:basedOn w:val="DefaultParagraphFont"/>
    <w:uiPriority w:val="99"/>
    <w:semiHidden/>
    <w:unhideWhenUsed/>
    <w:qFormat/>
    <w:rsid w:val="004f660e"/>
    <w:rPr>
      <w:color w:val="605E5C"/>
      <w:shd w:fill="E1DFDD" w:val="clear"/>
    </w:rPr>
  </w:style>
  <w:style w:type="character" w:styleId="UnresolvedMention2" w:customStyle="1">
    <w:name w:val="Unresolved Mention2"/>
    <w:basedOn w:val="DefaultParagraphFont"/>
    <w:uiPriority w:val="99"/>
    <w:semiHidden/>
    <w:unhideWhenUsed/>
    <w:qFormat/>
    <w:rsid w:val="004f660e"/>
    <w:rPr>
      <w:color w:val="605E5C"/>
      <w:shd w:fill="E1DFDD" w:val="clear"/>
    </w:rPr>
  </w:style>
  <w:style w:type="character" w:styleId="HeaderChar1" w:customStyle="1">
    <w:name w:val="Header Char1"/>
    <w:basedOn w:val="DefaultParagraphFont"/>
    <w:uiPriority w:val="99"/>
    <w:semiHidden/>
    <w:qFormat/>
    <w:rsid w:val="004f660e"/>
    <w:rPr/>
  </w:style>
  <w:style w:type="character" w:styleId="FooterChar1" w:customStyle="1">
    <w:name w:val="Footer Char1"/>
    <w:basedOn w:val="DefaultParagraphFont"/>
    <w:uiPriority w:val="99"/>
    <w:semiHidden/>
    <w:qFormat/>
    <w:rsid w:val="004f660e"/>
    <w:rPr/>
  </w:style>
  <w:style w:type="character" w:styleId="Has-inline-color" w:customStyle="1">
    <w:name w:val="has-inline-color"/>
    <w:basedOn w:val="DefaultParagraphFont"/>
    <w:qFormat/>
    <w:rsid w:val="004f660e"/>
    <w:rPr/>
  </w:style>
  <w:style w:type="character" w:styleId="Xcontentpasted0" w:customStyle="1">
    <w:name w:val="x_contentpasted0"/>
    <w:basedOn w:val="DefaultParagraphFont"/>
    <w:qFormat/>
    <w:rsid w:val="004f660e"/>
    <w:rPr/>
  </w:style>
  <w:style w:type="character" w:styleId="Eop" w:customStyle="1">
    <w:name w:val="eop"/>
    <w:basedOn w:val="DefaultParagraphFont"/>
    <w:qFormat/>
    <w:rsid w:val="004f660e"/>
    <w:rPr/>
  </w:style>
  <w:style w:type="character" w:styleId="Spellingerror" w:customStyle="1">
    <w:name w:val="spellingerror"/>
    <w:basedOn w:val="DefaultParagraphFont"/>
    <w:qFormat/>
    <w:rsid w:val="004f660e"/>
    <w:rPr/>
  </w:style>
  <w:style w:type="character" w:styleId="UnresolvedMention3" w:customStyle="1">
    <w:name w:val="Unresolved Mention3"/>
    <w:basedOn w:val="DefaultParagraphFont"/>
    <w:uiPriority w:val="99"/>
    <w:semiHidden/>
    <w:unhideWhenUsed/>
    <w:qFormat/>
    <w:rsid w:val="004f660e"/>
    <w:rPr>
      <w:color w:val="605E5C"/>
      <w:shd w:fill="E1DFDD" w:val="clear"/>
    </w:rPr>
  </w:style>
  <w:style w:type="character" w:styleId="UnresolvedMention4" w:customStyle="1">
    <w:name w:val="Unresolved Mention4"/>
    <w:basedOn w:val="DefaultParagraphFont"/>
    <w:uiPriority w:val="99"/>
    <w:semiHidden/>
    <w:unhideWhenUsed/>
    <w:qFormat/>
    <w:rsid w:val="004f660e"/>
    <w:rPr>
      <w:color w:val="605E5C"/>
      <w:shd w:fill="E1DFDD" w:val="clear"/>
    </w:rPr>
  </w:style>
  <w:style w:type="character" w:styleId="BodyTextIndentChar" w:customStyle="1">
    <w:name w:val="Body Text Indent Char"/>
    <w:basedOn w:val="DefaultParagraphFont"/>
    <w:uiPriority w:val="99"/>
    <w:semiHidden/>
    <w:qFormat/>
    <w:rsid w:val="004f660e"/>
    <w:rPr>
      <w:rFonts w:eastAsia="Calibri" w:eastAsiaTheme="minorHAnsi"/>
      <w:sz w:val="22"/>
      <w:szCs w:val="22"/>
      <w:lang w:eastAsia="en-US"/>
    </w:rPr>
  </w:style>
  <w:style w:type="character" w:styleId="UnresolvedMention5" w:customStyle="1">
    <w:name w:val="Unresolved Mention5"/>
    <w:basedOn w:val="DefaultParagraphFont"/>
    <w:uiPriority w:val="99"/>
    <w:semiHidden/>
    <w:unhideWhenUsed/>
    <w:qFormat/>
    <w:rsid w:val="004f660e"/>
    <w:rPr>
      <w:color w:val="605E5C"/>
      <w:shd w:fill="E1DFDD" w:val="clear"/>
    </w:rPr>
  </w:style>
  <w:style w:type="character" w:styleId="UnresolvedMention6" w:customStyle="1">
    <w:name w:val="Unresolved Mention6"/>
    <w:basedOn w:val="DefaultParagraphFont"/>
    <w:uiPriority w:val="99"/>
    <w:semiHidden/>
    <w:unhideWhenUsed/>
    <w:qFormat/>
    <w:rsid w:val="004f660e"/>
    <w:rPr>
      <w:color w:val="605E5C"/>
      <w:shd w:fill="E1DFDD" w:val="clear"/>
    </w:rPr>
  </w:style>
  <w:style w:type="character" w:styleId="Markedcontent" w:customStyle="1">
    <w:name w:val="markedcontent"/>
    <w:basedOn w:val="DefaultParagraphFont"/>
    <w:qFormat/>
    <w:rsid w:val="004f660e"/>
    <w:rPr/>
  </w:style>
  <w:style w:type="character" w:styleId="Normal-h" w:customStyle="1">
    <w:name w:val="normal-h"/>
    <w:basedOn w:val="DefaultParagraphFont"/>
    <w:qFormat/>
    <w:rsid w:val="004f660e"/>
    <w:rPr/>
  </w:style>
  <w:style w:type="character" w:styleId="IndexLink" w:customStyle="1">
    <w:name w:val="Index Link"/>
    <w:qFormat/>
    <w:rPr/>
  </w:style>
  <w:style w:type="paragraph" w:styleId="Heading" w:customStyle="1">
    <w:name w:val="Heading"/>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uiPriority w:val="99"/>
    <w:qFormat/>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 w:customStyle="1">
    <w:name w:val="caption1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Xl66" w:customStyle="1">
    <w:name w:val="xl66"/>
    <w:basedOn w:val="Normal"/>
    <w:qFormat/>
    <w:rsid w:val="004f660e"/>
    <w:pPr>
      <w:pBdr>
        <w:top w:val="single" w:sz="4" w:space="0" w:color="000000"/>
        <w:left w:val="single" w:sz="4" w:space="0" w:color="000000"/>
        <w:right w:val="single" w:sz="4" w:space="0" w:color="000000"/>
      </w:pBdr>
      <w:spacing w:lineRule="auto" w:line="240" w:beforeAutospacing="1" w:afterAutospacing="1"/>
    </w:pPr>
    <w:rPr>
      <w:rFonts w:ascii="Times New Roman" w:hAnsi="Times New Roman" w:eastAsia="Times New Roman" w:cs="Times New Roman"/>
      <w:sz w:val="12"/>
      <w:szCs w:val="12"/>
    </w:rPr>
  </w:style>
  <w:style w:type="paragraph" w:styleId="HeaderFooter" w:customStyle="1">
    <w:name w:val="Header &amp; Footer"/>
    <w:qFormat/>
    <w:rsid w:val="004f660e"/>
    <w:pPr>
      <w:widowControl/>
      <w:tabs>
        <w:tab w:val="clear" w:pos="1296"/>
        <w:tab w:val="right" w:pos="9020" w:leader="none"/>
      </w:tabs>
      <w:suppressAutoHyphens w:val="true"/>
      <w:bidi w:val="0"/>
      <w:spacing w:lineRule="auto" w:line="288" w:before="0" w:after="0"/>
      <w:jc w:val="left"/>
    </w:pPr>
    <w:rPr>
      <w:rFonts w:ascii="Helvetica Neue Medium" w:hAnsi="Helvetica Neue Medium" w:eastAsia="Arial Unicode MS" w:cs="Arial Unicode MS"/>
      <w:color w:val="606060"/>
      <w:kern w:val="0"/>
      <w:sz w:val="20"/>
      <w:szCs w:val="20"/>
      <w:lang w:val="lt-LT" w:eastAsia="lt-LT" w:bidi="ar-SA"/>
    </w:rPr>
  </w:style>
  <w:style w:type="paragraph" w:styleId="PlainText">
    <w:name w:val="Plain Text"/>
    <w:basedOn w:val="Normal"/>
    <w:link w:val="PlainTextChar"/>
    <w:semiHidden/>
    <w:qFormat/>
    <w:rsid w:val="004f660e"/>
    <w:pPr>
      <w:spacing w:lineRule="auto" w:line="240" w:before="0" w:after="0"/>
    </w:pPr>
    <w:rPr>
      <w:rFonts w:ascii="Courier New" w:hAnsi="Courier New" w:cs="Courier New"/>
    </w:rPr>
  </w:style>
  <w:style w:type="paragraph" w:styleId="Default" w:customStyle="1">
    <w:name w:val="Default"/>
    <w:qFormat/>
    <w:rsid w:val="004f660e"/>
    <w:pPr>
      <w:widowControl/>
      <w:suppressAutoHyphens w:val="true"/>
      <w:bidi w:val="0"/>
      <w:spacing w:before="0" w:after="0"/>
      <w:jc w:val="left"/>
    </w:pPr>
    <w:rPr>
      <w:rFonts w:ascii="Times New Roman" w:hAnsi="Times New Roman" w:eastAsia="" w:cs="Times New Roman"/>
      <w:color w:val="000000"/>
      <w:kern w:val="0"/>
      <w:sz w:val="24"/>
      <w:szCs w:val="24"/>
      <w:lang w:val="lt-LT" w:eastAsia="lt-LT" w:bidi="ar-SA"/>
    </w:rPr>
  </w:style>
  <w:style w:type="paragraph" w:styleId="Paragraph" w:customStyle="1">
    <w:name w:val="paragraph"/>
    <w:basedOn w:val="Normal"/>
    <w:qFormat/>
    <w:rsid w:val="004f660e"/>
    <w:pPr>
      <w:spacing w:lineRule="auto" w:line="240" w:before="0" w:after="0"/>
    </w:pPr>
    <w:rPr>
      <w:rFonts w:ascii="Calibri" w:hAnsi="Calibri" w:eastAsia="Calibri" w:cs="Calibri" w:eastAsiaTheme="minorHAnsi"/>
      <w:sz w:val="22"/>
      <w:szCs w:val="22"/>
    </w:rPr>
  </w:style>
  <w:style w:type="paragraph" w:styleId="BodyTextIndent">
    <w:name w:val="Body Text Indent"/>
    <w:basedOn w:val="Normal"/>
    <w:link w:val="BodyTextIndentChar"/>
    <w:uiPriority w:val="99"/>
    <w:semiHidden/>
    <w:unhideWhenUsed/>
    <w:rsid w:val="004f660e"/>
    <w:pPr>
      <w:spacing w:lineRule="auto" w:line="259" w:before="0" w:after="120"/>
      <w:ind w:left="283"/>
    </w:pPr>
    <w:rPr>
      <w:rFonts w:eastAsia="Calibri" w:eastAsiaTheme="minorHAnsi"/>
      <w:sz w:val="22"/>
      <w:szCs w:val="22"/>
      <w:lang w:eastAsia="en-US"/>
    </w:rPr>
  </w:style>
  <w:style w:type="paragraph" w:styleId="Normal-p" w:customStyle="1">
    <w:name w:val="normal-p"/>
    <w:basedOn w:val="Normal"/>
    <w:qFormat/>
    <w:rsid w:val="004f660e"/>
    <w:pPr>
      <w:spacing w:lineRule="auto" w:line="240" w:beforeAutospacing="1" w:afterAutospacing="1"/>
    </w:pPr>
    <w:rPr>
      <w:rFonts w:ascii="Times New Roman" w:hAnsi="Times New Roman" w:eastAsia="Times New Roman" w:cs="Times New Roman"/>
      <w:sz w:val="24"/>
      <w:szCs w:val="24"/>
    </w:rPr>
  </w:style>
  <w:style w:type="paragraph" w:styleId="TOC3">
    <w:name w:val="TOC 3"/>
    <w:basedOn w:val="Normal"/>
    <w:next w:val="Normal"/>
    <w:autoRedefine/>
    <w:uiPriority w:val="39"/>
    <w:unhideWhenUsed/>
    <w:rsid w:val="004f660e"/>
    <w:pPr>
      <w:spacing w:lineRule="auto" w:line="259" w:before="0" w:after="100"/>
      <w:ind w:left="440"/>
    </w:pPr>
    <w:rPr>
      <w:rFonts w:cs="Times New Roman"/>
      <w:sz w:val="22"/>
      <w:szCs w:val="2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numbering" w:styleId="Stilius64" w:customStyle="1">
    <w:name w:val="Stilius64"/>
    <w:uiPriority w:val="99"/>
    <w:qFormat/>
    <w:rsid w:val="004f660e"/>
  </w:style>
  <w:style w:type="numbering" w:styleId="Stilius641" w:customStyle="1">
    <w:name w:val="Stilius641"/>
    <w:uiPriority w:val="99"/>
    <w:qFormat/>
    <w:rsid w:val="004f660e"/>
  </w:style>
  <w:style w:type="numbering" w:styleId="Stilius642" w:customStyle="1">
    <w:name w:val="Stilius642"/>
    <w:uiPriority w:val="99"/>
    <w:qFormat/>
    <w:rsid w:val="004f660e"/>
  </w:style>
  <w:style w:type="numbering" w:styleId="NoList1" w:customStyle="1">
    <w:name w:val="No List1"/>
    <w:uiPriority w:val="99"/>
    <w:semiHidden/>
    <w:unhideWhenUsed/>
    <w:qFormat/>
    <w:rsid w:val="004f660e"/>
  </w:style>
  <w:style w:type="numbering" w:styleId="NoList11" w:customStyle="1">
    <w:name w:val="No List11"/>
    <w:uiPriority w:val="99"/>
    <w:semiHidden/>
    <w:unhideWhenUsed/>
    <w:qFormat/>
    <w:rsid w:val="004f660e"/>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3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1">
    <w:name w:val="Table Normal1"/>
    <w:rsid w:val="004f660e"/>
    <w:rPr>
      <w:sz w:val="20"/>
      <w:szCs w:val="20"/>
    </w:rPr>
    <w:tblPr>
      <w:tblCellMar>
        <w:top w:w="0" w:type="dxa"/>
        <w:left w:w="0" w:type="dxa"/>
        <w:bottom w:w="0" w:type="dxa"/>
        <w:right w:w="0" w:type="dxa"/>
      </w:tblCellMar>
    </w:tblPr>
  </w:style>
  <w:style w:type="table" w:customStyle="1" w:styleId="TableGrid31">
    <w:name w:val="Table Grid31"/>
    <w:basedOn w:val="TableNormal"/>
    <w:uiPriority w:val="39"/>
    <w:rsid w:val="004f660e"/>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1">
    <w:name w:val="Lentelės tinklelis1"/>
    <w:basedOn w:val="TableNormal"/>
    <w:uiPriority w:val="39"/>
    <w:rsid w:val="004f660e"/>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yperlink" Target="https://viesiejipirkimai.lt/"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s://ec.europa.eu/tools/ecertis/" TargetMode="External"/><Relationship Id="rId8" Type="http://schemas.openxmlformats.org/officeDocument/2006/relationships/hyperlink" Target="http://draudejai.sodra.lt/draudeju_viesi_duomenys/" TargetMode="External"/><Relationship Id="rId9"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vpt.lrv.lt/lt/nuorodos/kiti-duomenys/powerbi/nepatikimi-tiekejai-1/" TargetMode="External"/><Relationship Id="rId11"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index.php" TargetMode="External"/><Relationship Id="rId13"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vmi.lt/evmi/mokesciu-moketoju-informacija" TargetMode="External"/><Relationship Id="rId15" Type="http://schemas.openxmlformats.org/officeDocument/2006/relationships/hyperlink" Target="https://kt.gov.lt/lt/atviri-duomenys/diskvalifikavimas-is-viesuju-pirkimu" TargetMode="Externa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oter" Target="footer4.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5071</TotalTime>
  <Application>LibreOffice/7.6.4.1$Windows_X86_64 LibreOffice_project/e19e193f88cd6c0525a17fb7a176ed8e6a3e2aa1</Application>
  <AppVersion>15.0000</AppVersion>
  <Pages>28</Pages>
  <Words>4857</Words>
  <Characters>34656</Characters>
  <CharactersWithSpaces>39242</CharactersWithSpaces>
  <Paragraphs>306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2025-12-17T13:30:00Z</dcterms:created>
  <dc:creator>Jurgita Nainienė</dc:creator>
  <dc:description/>
  <dc:language>en-US</dc:language>
  <cp:lastModifiedBy/>
  <dcterms:modified xsi:type="dcterms:W3CDTF">2026-06-22T10:20:04Z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